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veraxabiotechag_6k.htm"/>
      <w:bookmarkStart w:id="1" w:name="ksveraxabiotechag_6k"/>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UNITED STATES</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SECURITIES AND EXCHANGE COMMISSION</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WASHINGTON, DC 20549</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REPORT OF FOREIGN PRIVATE ISSUER</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PURSUANT TO RULE 13A-16 OR 15D-16</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OF THE SECURITIES EXCHANGE ACT OF 1934</w:t>
      </w:r>
    </w:p>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For the month of July 2026</w:t>
      </w:r>
    </w:p>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Commission File Number: 001-43342</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8"/>
        </w:rPr>
      </w:pPr>
      <w:r>
        <w:rPr>
          <w:rFonts w:ascii="Times New Roman" w:hAnsi="Times New Roman"/>
          <w:b/>
          <w:i w:val="false"/>
          <w:caps w:val="false"/>
          <w:smallCaps w:val="false"/>
          <w:sz w:val="28"/>
        </w:rPr>
        <w:t>Veraxa Biotech AG</w:t>
      </w:r>
    </w:p>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Talacker 35</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8001 Zurich, Switzerland</w:t>
      </w:r>
    </w:p>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(Address of principal executive office)</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both"/>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Indicate by check mark whether the registrant files or will file annual reports under cover of Form 20-F or Form 40-F.</w:t>
      </w:r>
    </w:p>
    <w:p>
      <w:pPr>
        <w:pStyle w:val="TextBody"/>
        <w:bidi w:val="0"/>
        <w:jc w:val="both"/>
        <w:rPr>
          <w:caps w:val="false"/>
          <w:smallCaps w:val="false"/>
        </w:rPr>
      </w:pPr>
      <w:r>
        <w:rPr>
          <w:caps w:val="false"/>
          <w:smallCaps w:val="false"/>
        </w:rPr>
        <w:t> </w:t>
      </w:r>
    </w:p>
    <w:p>
      <w:pPr>
        <w:pStyle w:val="TextBody"/>
        <w:bidi w:val="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Form 20-F ☒          Form 40-F ☐</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Indicate by check mark if the registrant is submitting the Form 6-K in paper as permitted by Regulation S-T Rule 101(b)(1): ☐</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Indicate by check mark if the registrant is submitting the Form 6-K in paper as permitted by Regulation S-T Rule 101(b)(7): ☐</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both"/>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BiTAC-TCE Regulatory Progress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20, 2026, the Company issued a press release announcing regulatory progress with its BiTAC T-cell engager (“BiTAC-TCE”) program.</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press release is attached hereto as Exhibit 99.1 and is incorporated herein by reference.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jc w:val="both"/>
        <w:rPr>
          <w:caps w:val="false"/>
          <w:smallCaps w:val="false"/>
        </w:rPr>
      </w:pPr>
      <w:r>
        <w:rPr>
          <w:caps w:val="false"/>
          <w:smallCaps w:val="false"/>
        </w:rPr>
        <w:t> </w:t>
      </w:r>
    </w:p>
    <w:tbl>
      <w:tblPr>
        <w:tblW w:w="3490" w:type="dxa"/>
        <w:jc w:val="left"/>
        <w:tblInd w:w="0" w:type="dxa"/>
        <w:tblLayout w:type="fixed"/>
        <w:tblCellMar>
          <w:top w:w="0" w:type="dxa"/>
          <w:left w:w="0" w:type="dxa"/>
          <w:bottom w:w="28" w:type="dxa"/>
          <w:right w:w="0" w:type="dxa"/>
        </w:tblCellMar>
      </w:tblPr>
      <w:tblGrid>
        <w:gridCol w:w="665"/>
        <w:gridCol w:w="60"/>
        <w:gridCol w:w="2765"/>
      </w:tblGrid>
      <w:tr>
        <w:trPr/>
        <w:tc>
          <w:tcPr>
            <w:tcW w:w="66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6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Exhibit</w:t>
            </w:r>
          </w:p>
        </w:tc>
      </w:tr>
      <w:tr>
        <w:trPr/>
        <w:tc>
          <w:tcPr>
            <w:tcW w:w="6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65" w:type="dxa"/>
            <w:tcBorders/>
            <w:shd w:fill="CCEEFF" w:val="clear"/>
            <w:tcMar>
              <w:bottom w:w="0" w:type="dxa"/>
            </w:tcMar>
            <w:vAlign w:val="center"/>
          </w:tcPr>
          <w:p>
            <w:pPr>
              <w:pStyle w:val="TableContents"/>
              <w:bidi w:val="0"/>
              <w:spacing w:before="0" w:after="283"/>
              <w:jc w:val="both"/>
              <w:rPr/>
            </w:pPr>
            <w:hyperlink w:anchor="veraxabiotechag_ex99-1.htm">
              <w:r>
                <w:rPr>
                  <w:rStyle w:val="InternetLink"/>
                  <w:rFonts w:ascii="Times New Roman;Times;Serif" w:hAnsi="Times New Roman;Times;Serif"/>
                  <w:b w:val="false"/>
                  <w:i w:val="false"/>
                  <w:caps w:val="false"/>
                  <w:smallCaps w:val="false"/>
                  <w:sz w:val="20"/>
                </w:rPr>
                <w:t>Press Release dated July 20, 2026</w:t>
              </w:r>
            </w:hyperlink>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SIGNATURE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Pursuant to the requirements of the Securities Exchange Act of 1934, as amended, the registrant has duly caused this report to be signed on its behalf by the undersigned, thereunto duly authorized.</w:t>
      </w:r>
    </w:p>
    <w:p>
      <w:pPr>
        <w:pStyle w:val="TextBody"/>
        <w:bidi w:val="0"/>
        <w:jc w:val="left"/>
        <w:rPr>
          <w:caps w:val="false"/>
          <w:smallCaps w:val="false"/>
        </w:rPr>
      </w:pPr>
      <w:r>
        <w:rPr>
          <w:caps w:val="false"/>
          <w:smallCaps w:val="false"/>
        </w:rPr>
        <w:t> </w:t>
      </w:r>
    </w:p>
    <w:tbl>
      <w:tblPr>
        <w:tblW w:w="4560" w:type="dxa"/>
        <w:jc w:val="left"/>
        <w:tblInd w:w="0" w:type="dxa"/>
        <w:tblLayout w:type="fixed"/>
        <w:tblCellMar>
          <w:top w:w="0" w:type="dxa"/>
          <w:left w:w="0" w:type="dxa"/>
          <w:bottom w:w="0" w:type="dxa"/>
          <w:right w:w="0" w:type="dxa"/>
        </w:tblCellMar>
      </w:tblPr>
      <w:tblGrid>
        <w:gridCol w:w="1895"/>
        <w:gridCol w:w="710"/>
        <w:gridCol w:w="1955"/>
      </w:tblGrid>
      <w:tr>
        <w:trPr/>
        <w:tc>
          <w:tcPr>
            <w:tcW w:w="1895" w:type="dxa"/>
            <w:tcBorders/>
            <w:vAlign w:val="center"/>
          </w:tcPr>
          <w:p>
            <w:pPr>
              <w:pStyle w:val="TableContents"/>
              <w:bidi w:val="0"/>
              <w:spacing w:before="0" w:after="283"/>
              <w:jc w:val="left"/>
              <w:rPr/>
            </w:pPr>
            <w:r>
              <w:rPr/>
              <w:t> </w:t>
            </w:r>
          </w:p>
        </w:tc>
        <w:tc>
          <w:tcPr>
            <w:tcW w:w="2665" w:type="dxa"/>
            <w:gridSpan w:val="2"/>
            <w:tcBorders/>
            <w:vAlign w:val="center"/>
          </w:tcPr>
          <w:p>
            <w:pPr>
              <w:pStyle w:val="TableContents"/>
              <w:bidi w:val="0"/>
              <w:spacing w:before="0" w:after="283"/>
              <w:jc w:val="left"/>
              <w:rPr>
                <w:rFonts w:ascii="Times New Roman" w:hAnsi="Times New Roman"/>
                <w:b/>
                <w:i w:val="false"/>
                <w:caps w:val="false"/>
                <w:smallCaps w:val="false"/>
                <w:sz w:val="20"/>
              </w:rPr>
            </w:pPr>
            <w:r>
              <w:rPr>
                <w:rFonts w:ascii="Times New Roman" w:hAnsi="Times New Roman"/>
                <w:b/>
                <w:i w:val="false"/>
                <w:caps w:val="false"/>
                <w:smallCaps w:val="false"/>
                <w:sz w:val="20"/>
              </w:rPr>
              <w:t>VERAXA BIOTECH AG</w:t>
            </w:r>
          </w:p>
        </w:tc>
      </w:tr>
      <w:tr>
        <w:trPr/>
        <w:tc>
          <w:tcPr>
            <w:tcW w:w="1895" w:type="dxa"/>
            <w:tcBorders/>
            <w:vAlign w:val="center"/>
          </w:tcPr>
          <w:p>
            <w:pPr>
              <w:pStyle w:val="TableContents"/>
              <w:bidi w:val="0"/>
              <w:spacing w:before="0" w:after="283"/>
              <w:jc w:val="left"/>
              <w:rPr/>
            </w:pPr>
            <w:r>
              <w:rPr/>
              <w:t> </w:t>
            </w:r>
          </w:p>
        </w:tc>
        <w:tc>
          <w:tcPr>
            <w:tcW w:w="2665" w:type="dxa"/>
            <w:gridSpan w:val="2"/>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pPr>
            <w:r>
              <w:rPr/>
              <w:t>Date: July 20, 2026</w:t>
            </w:r>
          </w:p>
        </w:tc>
        <w:tc>
          <w:tcPr>
            <w:tcW w:w="710" w:type="dxa"/>
            <w:tcBorders/>
            <w:vAlign w:val="center"/>
          </w:tcPr>
          <w:p>
            <w:pPr>
              <w:pStyle w:val="TableContents"/>
              <w:bidi w:val="0"/>
              <w:spacing w:before="0" w:after="283"/>
              <w:jc w:val="left"/>
              <w:rPr/>
            </w:pPr>
            <w:r>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 w:hAnsi="Times New Roman"/>
                <w:b w:val="false"/>
                <w:i/>
                <w:caps w:val="false"/>
                <w:smallCaps w:val="false"/>
                <w:sz w:val="20"/>
              </w:rPr>
            </w:pPr>
            <w:r>
              <w:rPr>
                <w:rFonts w:ascii="Times New Roman" w:hAnsi="Times New Roman"/>
                <w:b w:val="false"/>
                <w:i/>
                <w:caps w:val="false"/>
                <w:smallCaps w:val="false"/>
                <w:sz w:val="20"/>
              </w:rPr>
              <w:t>/s/ Christoph Antz</w:t>
            </w:r>
          </w:p>
        </w:tc>
      </w:tr>
      <w:tr>
        <w:trPr/>
        <w:tc>
          <w:tcPr>
            <w:tcW w:w="189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 </w:t>
            </w:r>
          </w:p>
        </w:tc>
        <w:tc>
          <w:tcPr>
            <w:tcW w:w="1955"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Christoph Antz</w:t>
            </w:r>
          </w:p>
        </w:tc>
      </w:tr>
      <w:tr>
        <w:trPr/>
        <w:tc>
          <w:tcPr>
            <w:tcW w:w="189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1955"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Chief Executive Officer</w:t>
            </w:r>
          </w:p>
        </w:tc>
      </w:tr>
    </w:tbl>
    <w:p>
      <w:pPr>
        <w:pStyle w:val="TextBody"/>
        <w:bidi w:val="0"/>
        <w:jc w:val="left"/>
        <w:rPr>
          <w:caps w:val="false"/>
          <w:smallCaps w:val="false"/>
        </w:rPr>
      </w:pPr>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75"/>
        <w:gridCol w:w="590"/>
        <w:gridCol w:w="2870"/>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870"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Oliver Baumann</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287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Oliver Baumann</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 of Directors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jc w:val="left"/>
        <w:rPr>
          <w:caps w:val="false"/>
          <w:smallCaps w:val="false"/>
        </w:rPr>
      </w:pPr>
      <w:bookmarkStart w:id="2" w:name="veraxabiotechag_ex99-1.htm"/>
      <w:bookmarkStart w:id="3" w:name="ksveraxabiotechag_ex991"/>
      <w:bookmarkEnd w:id="2"/>
      <w:bookmarkEnd w:id="3"/>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jc w:val="righ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143750" cy="1409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143750" cy="140970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color w:val="59A1A6"/>
          <w:sz w:val="20"/>
        </w:rPr>
      </w:pPr>
      <w:r>
        <w:rPr>
          <w:rFonts w:ascii="Times New Roman;Times;Serif" w:hAnsi="Times New Roman;Times;Serif"/>
          <w:b/>
          <w:i w:val="false"/>
          <w:caps w:val="false"/>
          <w:smallCaps w:val="false"/>
          <w:color w:val="59A1A6"/>
          <w:sz w:val="20"/>
        </w:rPr>
        <w:t>Press Release</w:t>
      </w:r>
    </w:p>
    <w:p>
      <w:pPr>
        <w:pStyle w:val="TextBody"/>
        <w:bidi w:val="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952500" cy="571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 cy="5715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color w:val="59A1A6"/>
          <w:sz w:val="24"/>
        </w:rPr>
      </w:pPr>
      <w:r>
        <w:rPr>
          <w:rFonts w:ascii="Times New Roman;Times;Serif" w:hAnsi="Times New Roman;Times;Serif"/>
          <w:b/>
          <w:i w:val="false"/>
          <w:caps w:val="false"/>
          <w:smallCaps w:val="false"/>
          <w:color w:val="59A1A6"/>
          <w:sz w:val="24"/>
        </w:rPr>
        <w:t>VERAXA Biotech Announces Regulatory Progress with its BiTAC</w:t>
      </w:r>
      <w:r>
        <w:rPr>
          <w:rFonts w:ascii="Times New Roman;Times;Serif" w:hAnsi="Times New Roman;Times;Serif"/>
          <w:b/>
          <w:i w:val="false"/>
          <w:caps w:val="false"/>
          <w:smallCaps w:val="false"/>
          <w:color w:val="59A1A6"/>
          <w:position w:val="8"/>
          <w:sz w:val="19"/>
          <w:sz w:val="24"/>
        </w:rPr>
        <w:t>®</w:t>
      </w:r>
      <w:r>
        <w:rPr>
          <w:rFonts w:ascii="Times New Roman;Times;Serif" w:hAnsi="Times New Roman;Times;Serif"/>
          <w:b/>
          <w:i w:val="false"/>
          <w:caps w:val="false"/>
          <w:smallCaps w:val="false"/>
          <w:color w:val="59A1A6"/>
          <w:sz w:val="24"/>
        </w:rPr>
        <w:t>-TCE</w:t>
        <w:br/>
        <w:t>Development Plan</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Scientific Advice from the German Regulatory Authority supports the biological rationale and proposed development approach for VERAXA’s BiTAC-TCE technology and product candidate, providing an initial de-risking of the development path for this novel therapeutic modality</w:t>
      </w:r>
    </w:p>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ZURICH, SWITZERLAND – July 20, 2026 –</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VERAXA Biotech</w:t>
      </w:r>
      <w:r>
        <w:rPr>
          <w:rFonts w:ascii="Times New Roman;Times;Serif" w:hAnsi="Times New Roman;Times;Serif"/>
          <w:b w:val="false"/>
          <w:i w:val="false"/>
          <w:caps w:val="false"/>
          <w:smallCaps w:val="false"/>
          <w:sz w:val="20"/>
        </w:rPr>
        <w:t xml:space="preserve"> AG (NASDAQ: VRXA; “VERAXA), an emerging leader in designing novel cancer therapies, today announced that it has received Scientific Advice from the German regulatory authority, the Paul-Ehrlich-Institute (PEI), regarding the underlying biology and proposed non-clinical development plan for its most-advanced development program based on its proprietary BiTAC-TCE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PEI’s Scientific Advice procedure, drug developers can consult with regulatory experts on how to best evaluate their new drug candidates with a key focus on safety and tolerability. The advice was given in a meeting in which VERAXA presented the scientific rationale for the BiTAC-TCE mechanism together with its proposed safety assessments and pharmacokinetics strategy. The supportive feedback indicates that the authorities understand the biological concept behind the dual-targeting, conditionally active BiTAC-TCE format, which provides an initial derisking of the development path and greater clarity as the Company advances its BiTAC-TCE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Scientific Advice on the first therapeutic candidate based on a novel platform is an important early validation, and the feedback we received is encouraging,” said Christoph Erkel, Ph.D., Vice President, Research &amp; Development of VERAXA. “It indicates that the regulatory authorities understand the biological rationale behind our BiTAC-TCE technology approach and gives us greater clarity on the development path we have proposed. For our new modality, such early alignment is crucial to make sure that we progress as efficiently as possible towards the clinics.”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Initial data from VERAXA’s most advanced BiTAC-TCE program were presented at the American Association for Cancer Research (AACR) Annual Meeting 2026, in April. In those studies, VERAXA’s BiTAC-TCE candidate performed as intended </w:t>
      </w:r>
      <w:r>
        <w:rPr>
          <w:rFonts w:ascii="Times New Roman;Times;Serif" w:hAnsi="Times New Roman;Times;Serif"/>
          <w:b w:val="false"/>
          <w:i/>
          <w:caps w:val="false"/>
          <w:smallCaps w:val="false"/>
          <w:sz w:val="20"/>
        </w:rPr>
        <w:t>in vitro</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xml:space="preserve">, attacking cancer cells displaying both target molecules while sparing cells expressing only one of the two targets. The data demonstrated a superior safety profile with matching efficacy compared with a more traditional TCE, pointing to the possibility of a meaningfully improved therapeutic index. The related posters are available on the VERAXA website at </w:t>
      </w:r>
      <w:r>
        <w:rPr>
          <w:rFonts w:ascii="Times New Roman;Times;Serif" w:hAnsi="Times New Roman;Times;Serif"/>
          <w:b w:val="false"/>
          <w:i w:val="false"/>
          <w:caps w:val="false"/>
          <w:smallCaps w:val="false"/>
          <w:sz w:val="20"/>
          <w:u w:val="single"/>
        </w:rPr>
        <w:t>www.veraxa.com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120" w:after="12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AG / Talacker 35 / CH-8001 Zürich</w:t>
      </w:r>
    </w:p>
    <w:p>
      <w:pPr>
        <w:pStyle w:val="TextBody"/>
        <w:bidi w:val="0"/>
        <w:spacing w:before="120" w:after="12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GmbH / Im Neuenheimer Feld 584 / 69120 Heidelberg</w:t>
      </w:r>
    </w:p>
    <w:p>
      <w:pPr>
        <w:pStyle w:val="TextBody"/>
        <w:bidi w:val="0"/>
        <w:spacing w:before="120" w:after="120"/>
        <w:jc w:val="center"/>
        <w:rPr>
          <w:caps w:val="false"/>
          <w:smallCaps w:val="false"/>
          <w:color w:val="59A1A6"/>
          <w:bdr w:val="single" w:sz="16" w:space="1" w:color="000000"/>
        </w:rPr>
      </w:pPr>
      <w:r>
        <w:rPr>
          <w:caps w:val="false"/>
          <w:smallCaps w:val="false"/>
          <w:color w:val="59A1A6"/>
          <w:bdr w:val="single" w:sz="16" w:space="1" w:color="000000"/>
        </w:rPr>
        <w:t> </w:t>
      </w:r>
    </w:p>
    <w:p>
      <w:pPr>
        <w:pStyle w:val="TextBody"/>
        <w:bidi w:val="0"/>
        <w:spacing w:before="120" w:after="120"/>
        <w:jc w:val="center"/>
        <w:rPr>
          <w:caps w:val="false"/>
          <w:smallCaps w:val="false"/>
        </w:rPr>
      </w:pPr>
      <w:r>
        <w:rPr>
          <w:caps w:val="false"/>
          <w:smallCaps w:val="false"/>
        </w:rPr>
        <w:drawing>
          <wp:inline distT="0" distB="0" distL="0" distR="0">
            <wp:extent cx="7143750" cy="14097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143750" cy="140970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VERAXA Biotech AG (NASDAQ: VRXA)</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VERAXA, we are building a premier engine for the discovery and development of next-generation antibody-based therapeutics, including bispecific T cell engagers, bispecific ADCs and other innovative formats. Powered by a suite of transformative technologies and guided by rigorous quality-by-design principles, we are rapidly advancing our pipeline of ADCs and proprietary BiTAC formats into clinical development and beyond. VERAXA was founded on scientific breakthroughs made at the European Molecular Biology Laboratory (EMBL), a world-renowned institution known for pioneering life science research and cutting-edge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regular updates about VERAXA Biotech, visit </w:t>
      </w:r>
      <w:r>
        <w:rPr>
          <w:rFonts w:ascii="Times New Roman;Times;Serif" w:hAnsi="Times New Roman;Times;Serif"/>
          <w:b w:val="false"/>
          <w:i w:val="false"/>
          <w:caps w:val="false"/>
          <w:smallCaps w:val="false"/>
          <w:sz w:val="20"/>
          <w:u w:val="single"/>
        </w:rPr>
        <w:t>https://investors.veraxa.com/</w:t>
      </w:r>
      <w:r>
        <w:rPr>
          <w:rFonts w:ascii="Times New Roman;Times;Serif" w:hAnsi="Times New Roman;Times;Serif"/>
          <w:b w:val="false"/>
          <w:i w:val="false"/>
          <w:caps w:val="false"/>
          <w:smallCaps w:val="false"/>
          <w:sz w:val="20"/>
        </w:rPr>
        <w:t xml:space="preserve"> or follow us on </w:t>
      </w:r>
      <w:r>
        <w:rPr>
          <w:rFonts w:ascii="Times New Roman;Times;Serif" w:hAnsi="Times New Roman;Times;Serif"/>
          <w:b w:val="false"/>
          <w:i w:val="false"/>
          <w:caps w:val="false"/>
          <w:smallCaps w:val="false"/>
          <w:sz w:val="20"/>
          <w:u w:val="single"/>
        </w:rPr>
        <w:t>LinkedIn, X</w:t>
      </w:r>
      <w:r>
        <w:rPr>
          <w:rFonts w:ascii="Times New Roman;Times;Serif" w:hAnsi="Times New Roman;Times;Serif"/>
          <w:b w:val="false"/>
          <w:i w:val="false"/>
          <w:caps w:val="false"/>
          <w:smallCaps w:val="false"/>
          <w:sz w:val="20"/>
        </w:rPr>
        <w:t xml:space="preserve"> (formerly known as Twitter) and </w:t>
      </w:r>
      <w:r>
        <w:rPr>
          <w:rFonts w:ascii="Times New Roman;Times;Serif" w:hAnsi="Times New Roman;Times;Serif"/>
          <w:b w:val="false"/>
          <w:i w:val="false"/>
          <w:caps w:val="false"/>
          <w:smallCaps w:val="false"/>
          <w:sz w:val="20"/>
          <w:u w:val="single"/>
        </w:rPr>
        <w:t>Bluesky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BiTAC</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is a registered trademark of VERAXA Biotech GmbH.</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may contain “forward-looking statements” within the meaning of the Private Securities Litigation Reform Act of 1995. All statements that address activities, events, or developments that VERAXA Biotech AG (the “Company”) intends, expects, plans, projects, believes, or anticipates will or may occur in the future are forward-looking statements, including with respect to the anticipated timing for clinic development of its pipeline candidates or the likelihood of regulatory approval thereof. Such forward-looking statements are based on current expectations and involve inherent risks and uncertainties, including factors that could delay, divert or change any of them, and could cause actual outcomes and results to differ materially from current expectations. No forward-looking statement can be guaranteed. Forward-looking statements contained on this press release should be evaluated together with the many uncertainties that affect the Company’s business, particularly those identified in the risk factors section of the Company’s registration statement on Form F-4. These documents are available from the Securities and Exchange Commission, the Company website or from Company Investor Relations.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any information contained in this press release was current as of the date presented and should not be relied upon as representing our estimates as of any subsequent date. While we may elect to update forward-looking statements at some point in the future, we specifically disclaim any obligation to do so, even if our estimates change, whether as a result of new information, future events or otherwise. Consequently, the company will not update the information contained in this press release and investors should not rely upon the information as current or accurate after the presentation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120" w:after="12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AG / Talacker 35 / CH-8001 Zürich</w:t>
      </w:r>
    </w:p>
    <w:p>
      <w:pPr>
        <w:pStyle w:val="TextBody"/>
        <w:bidi w:val="0"/>
        <w:spacing w:before="120" w:after="12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GmbH / Im Neuenheimer Feld 584 / 69120 Heidelberg</w:t>
      </w:r>
    </w:p>
    <w:p>
      <w:pPr>
        <w:pStyle w:val="TextBody"/>
        <w:bidi w:val="0"/>
        <w:spacing w:before="120" w:after="120"/>
        <w:jc w:val="center"/>
        <w:rPr>
          <w:caps w:val="false"/>
          <w:smallCaps w:val="false"/>
          <w:color w:val="59A1A6"/>
          <w:bdr w:val="single" w:sz="16" w:space="1" w:color="000000"/>
        </w:rPr>
      </w:pPr>
      <w:r>
        <w:rPr>
          <w:caps w:val="false"/>
          <w:smallCaps w:val="false"/>
          <w:color w:val="59A1A6"/>
          <w:bdr w:val="single" w:sz="16" w:space="1" w:color="000000"/>
        </w:rPr>
        <w:t> </w:t>
      </w:r>
    </w:p>
    <w:p>
      <w:pPr>
        <w:pStyle w:val="TextBody"/>
        <w:bidi w:val="0"/>
        <w:spacing w:before="120" w:after="1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spacing w:before="120" w:after="120"/>
        <w:jc w:val="center"/>
        <w:rPr>
          <w:caps w:val="false"/>
          <w:smallCaps w:val="false"/>
        </w:rPr>
      </w:pPr>
      <w:r>
        <w:rPr>
          <w:caps w:val="false"/>
          <w:smallCaps w:val="false"/>
        </w:rPr>
        <w:drawing>
          <wp:inline distT="0" distB="0" distL="0" distR="0">
            <wp:extent cx="7143750" cy="14097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143750" cy="140970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VERAXA Biotech AG – Corporate</w:t>
      </w:r>
      <w:r>
        <w:rPr>
          <w:rFonts w:ascii="Times New Roman;Times;Serif" w:hAnsi="Times New Roman;Times;Serif"/>
          <w:b w:val="false"/>
          <w:i w:val="false"/>
          <w:caps w:val="false"/>
          <w:smallCaps w:val="false"/>
          <w:sz w:val="20"/>
        </w:rPr>
        <w:t xml:space="preserve"> </w:t>
        <w:br/>
        <w:t>Christoph Antz, Ph.D.</w:t>
        <w:br/>
        <w:t>Chief Executive Officer, Co-Founder</w:t>
        <w:br/>
      </w:r>
      <w:r>
        <w:rPr>
          <w:rFonts w:ascii="Times New Roman;Times;Serif" w:hAnsi="Times New Roman;Times;Serif"/>
          <w:b w:val="false"/>
          <w:i w:val="false"/>
          <w:caps w:val="false"/>
          <w:smallCaps w:val="false"/>
          <w:sz w:val="20"/>
          <w:u w:val="single"/>
        </w:rPr>
        <w:t>investors@veraxa.com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Media and Investors – U.S.</w:t>
      </w:r>
      <w:r>
        <w:rPr>
          <w:rFonts w:ascii="Times New Roman;Times;Serif" w:hAnsi="Times New Roman;Times;Serif"/>
          <w:b w:val="false"/>
          <w:i w:val="false"/>
          <w:caps w:val="false"/>
          <w:smallCaps w:val="false"/>
          <w:sz w:val="20"/>
        </w:rPr>
        <w:br/>
        <w:t>Brandon Weiner</w:t>
        <w:br/>
        <w:t>ICR Healthcare</w:t>
        <w:br/>
      </w:r>
      <w:r>
        <w:rPr>
          <w:rFonts w:ascii="Times New Roman;Times;Serif" w:hAnsi="Times New Roman;Times;Serif"/>
          <w:b w:val="false"/>
          <w:i w:val="false"/>
          <w:caps w:val="false"/>
          <w:smallCaps w:val="false"/>
          <w:sz w:val="20"/>
          <w:u w:val="single"/>
        </w:rPr>
        <w:t>VERAXA@icrhealthcare.com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Media and Investors – EU</w:t>
      </w:r>
      <w:r>
        <w:rPr>
          <w:rFonts w:ascii="Times New Roman;Times;Serif" w:hAnsi="Times New Roman;Times;Serif"/>
          <w:b w:val="false"/>
          <w:i w:val="false"/>
          <w:caps w:val="false"/>
          <w:smallCaps w:val="false"/>
          <w:sz w:val="20"/>
        </w:rPr>
        <w:br/>
        <w:t>Mario Brkulj</w:t>
        <w:br/>
      </w:r>
      <w:r>
        <w:rPr>
          <w:rFonts w:ascii="Times New Roman;Times;Serif" w:hAnsi="Times New Roman;Times;Serif"/>
          <w:b w:val="false"/>
          <w:i w:val="false"/>
          <w:caps w:val="false"/>
          <w:smallCaps w:val="false"/>
          <w:sz w:val="20"/>
          <w:u w:val="single"/>
        </w:rPr>
        <w:t>investors@veraxa.com</w:t>
      </w:r>
    </w:p>
    <w:p>
      <w:pPr>
        <w:pStyle w:val="TextBody"/>
        <w:bidi w:val="0"/>
        <w:jc w:val="left"/>
        <w:rPr>
          <w:caps w:val="false"/>
          <w:smallCaps w:val="false"/>
        </w:rPr>
      </w:pPr>
      <w:r>
        <w:rPr>
          <w:caps w:val="false"/>
          <w:smallCaps w:val="false"/>
        </w:rPr>
        <w:t> </w:t>
      </w:r>
    </w:p>
    <w:p>
      <w:pPr>
        <w:pStyle w:val="TextBody"/>
        <w:bidi w:val="0"/>
        <w:spacing w:before="120" w:after="12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AG / Talacker 35 / CH-8001 Zürich</w:t>
      </w:r>
    </w:p>
    <w:p>
      <w:pPr>
        <w:pStyle w:val="TextBody"/>
        <w:bidi w:val="0"/>
        <w:spacing w:before="120" w:after="12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GmbH / Im Neuenheimer Feld 584 / 69120 Heidelberg</w:t>
      </w:r>
    </w:p>
    <w:p>
      <w:pPr>
        <w:pStyle w:val="TextBody"/>
        <w:bidi w:val="0"/>
        <w:spacing w:before="120" w:after="120"/>
        <w:jc w:val="center"/>
        <w:rPr>
          <w:caps w:val="false"/>
          <w:smallCaps w:val="false"/>
          <w:color w:val="59A1A6"/>
          <w:bdr w:val="single" w:sz="16" w:space="1" w:color="000000"/>
        </w:rPr>
      </w:pPr>
      <w:r>
        <w:rPr>
          <w:caps w:val="false"/>
          <w:smallCaps w:val="false"/>
          <w:color w:val="59A1A6"/>
          <w:bdr w:val="single" w:sz="16" w:space="1" w:color="000000"/>
        </w:rPr>
        <w:t> </w:t>
      </w:r>
    </w:p>
    <w:p>
      <w:pPr>
        <w:pStyle w:val="TextBody"/>
        <w:bidi w:val="0"/>
        <w:spacing w:before="120" w:after="1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1098</Words>
  <Characters>6411</Characters>
  <CharactersWithSpaces>7538</CharactersWithSpaces>
  <Paragraphs>156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