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286" w:type="dxa"/>
        <w:jc w:val="left"/>
        <w:tblInd w:w="0" w:type="dxa"/>
        <w:tblLayout w:type="fixed"/>
        <w:tblCellMar>
          <w:top w:w="28" w:type="dxa"/>
          <w:left w:w="28" w:type="dxa"/>
          <w:bottom w:w="28" w:type="dxa"/>
          <w:right w:w="28" w:type="dxa"/>
        </w:tblCellMar>
      </w:tblPr>
      <w:tblGrid>
        <w:gridCol w:w="6286"/>
      </w:tblGrid>
      <w:tr>
        <w:trPr/>
        <w:tc>
          <w:tcPr>
            <w:tcW w:w="628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28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286" w:type="dxa"/>
            <w:tcBorders/>
            <w:vAlign w:val="center"/>
          </w:tcPr>
          <w:p>
            <w:pPr>
              <w:pStyle w:val="TableContents"/>
              <w:bidi w:val="0"/>
              <w:spacing w:before="0" w:after="0"/>
              <w:jc w:val="left"/>
              <w:rPr/>
            </w:pPr>
            <w:r>
              <w:rPr/>
              <w:t xml:space="preserve">UNDER THE SECURITIES EXCHANGE ACT OF 1934 </w:t>
            </w:r>
          </w:p>
        </w:tc>
      </w:tr>
      <w:tr>
        <w:trPr/>
        <w:tc>
          <w:tcPr>
            <w:tcW w:w="628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6286" w:type="dxa"/>
            <w:tcBorders/>
            <w:vAlign w:val="center"/>
          </w:tcPr>
          <w:p>
            <w:pPr>
              <w:pStyle w:val="TableContents"/>
              <w:bidi w:val="0"/>
              <w:spacing w:before="0" w:after="0"/>
              <w:jc w:val="center"/>
              <w:rPr>
                <w:b/>
                <w:color w:val="0000FF"/>
              </w:rPr>
            </w:pPr>
            <w:r>
              <w:rPr>
                <w:b/>
                <w:color w:val="0000FF"/>
              </w:rPr>
              <w:t>Veraxa Biotech Holding AG f/k/a Voyager Acquisition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286" w:type="dxa"/>
            <w:tcBorders/>
            <w:vAlign w:val="center"/>
          </w:tcPr>
          <w:p>
            <w:pPr>
              <w:pStyle w:val="TableContents"/>
              <w:bidi w:val="0"/>
              <w:spacing w:before="0" w:after="0"/>
              <w:jc w:val="center"/>
              <w:rPr>
                <w:b/>
                <w:color w:val="0000FF"/>
              </w:rPr>
            </w:pPr>
            <w:r>
              <w:rPr>
                <w:b/>
                <w:color w:val="0000FF"/>
              </w:rPr>
              <w:t>Ordinary Shares, par value CHF 100/11,325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28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28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8"/>
        <w:gridCol w:w="8167"/>
      </w:tblGrid>
      <w:tr>
        <w:trPr/>
        <w:tc>
          <w:tcPr>
            <w:tcW w:w="2038" w:type="dxa"/>
            <w:tcBorders/>
            <w:vAlign w:val="center"/>
          </w:tcPr>
          <w:p>
            <w:pPr>
              <w:pStyle w:val="TableContents"/>
              <w:bidi w:val="0"/>
              <w:spacing w:before="0" w:after="283"/>
              <w:jc w:val="left"/>
              <w:rPr/>
            </w:pPr>
            <w:r>
              <w:rPr/>
              <w:t>1</w:t>
            </w:r>
          </w:p>
        </w:tc>
        <w:tc>
          <w:tcPr>
            <w:tcW w:w="816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LLC</w:t>
            </w:r>
          </w:p>
        </w:tc>
      </w:tr>
      <w:tr>
        <w:trPr/>
        <w:tc>
          <w:tcPr>
            <w:tcW w:w="2038" w:type="dxa"/>
            <w:tcBorders/>
            <w:vAlign w:val="center"/>
          </w:tcPr>
          <w:p>
            <w:pPr>
              <w:pStyle w:val="TableContents"/>
              <w:bidi w:val="0"/>
              <w:spacing w:before="0" w:after="283"/>
              <w:jc w:val="left"/>
              <w:rPr/>
            </w:pPr>
            <w:r>
              <w:rPr/>
              <w:t>2</w:t>
            </w:r>
          </w:p>
        </w:tc>
        <w:tc>
          <w:tcPr>
            <w:tcW w:w="816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8" w:type="dxa"/>
            <w:tcBorders/>
            <w:vAlign w:val="center"/>
          </w:tcPr>
          <w:p>
            <w:pPr>
              <w:pStyle w:val="TableContents"/>
              <w:bidi w:val="0"/>
              <w:spacing w:before="0" w:after="283"/>
              <w:jc w:val="left"/>
              <w:rPr/>
            </w:pPr>
            <w:r>
              <w:rPr/>
              <w:t>3</w:t>
            </w:r>
          </w:p>
        </w:tc>
        <w:tc>
          <w:tcPr>
            <w:tcW w:w="8167" w:type="dxa"/>
            <w:tcBorders/>
            <w:vAlign w:val="center"/>
          </w:tcPr>
          <w:p>
            <w:pPr>
              <w:pStyle w:val="TableContents"/>
              <w:bidi w:val="0"/>
              <w:spacing w:before="0" w:after="283"/>
              <w:jc w:val="left"/>
              <w:rPr/>
            </w:pPr>
            <w:r>
              <w:rPr/>
              <w:t>Sec Use Only</w:t>
            </w:r>
          </w:p>
        </w:tc>
      </w:tr>
      <w:tr>
        <w:trPr/>
        <w:tc>
          <w:tcPr>
            <w:tcW w:w="2038" w:type="dxa"/>
            <w:tcBorders/>
            <w:vAlign w:val="center"/>
          </w:tcPr>
          <w:p>
            <w:pPr>
              <w:pStyle w:val="TableContents"/>
              <w:bidi w:val="0"/>
              <w:spacing w:before="0" w:after="283"/>
              <w:jc w:val="left"/>
              <w:rPr/>
            </w:pPr>
            <w:r>
              <w:rPr/>
              <w:t>4</w:t>
            </w:r>
          </w:p>
        </w:tc>
        <w:tc>
          <w:tcPr>
            <w:tcW w:w="816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3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658,138.00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658,138.00</w:t>
                  </w:r>
                </w:p>
              </w:tc>
            </w:tr>
          </w:tbl>
          <w:p>
            <w:pPr>
              <w:pStyle w:val="TableContents"/>
              <w:bidi w:val="0"/>
              <w:spacing w:before="0" w:after="283"/>
              <w:jc w:val="left"/>
              <w:rPr/>
            </w:pPr>
            <w:r>
              <w:rPr/>
            </w:r>
          </w:p>
        </w:tc>
        <w:tc>
          <w:tcPr>
            <w:tcW w:w="8167" w:type="dxa"/>
            <w:tcBorders/>
            <w:vAlign w:val="center"/>
          </w:tcPr>
          <w:p>
            <w:pPr>
              <w:pStyle w:val="TableContents"/>
              <w:bidi w:val="0"/>
              <w:spacing w:before="0" w:after="283"/>
              <w:jc w:val="left"/>
              <w:rPr>
                <w:sz w:val="4"/>
                <w:szCs w:val="4"/>
              </w:rPr>
            </w:pPr>
            <w:r>
              <w:rPr>
                <w:sz w:val="4"/>
                <w:szCs w:val="4"/>
              </w:rPr>
            </w:r>
          </w:p>
        </w:tc>
      </w:tr>
      <w:tr>
        <w:trPr/>
        <w:tc>
          <w:tcPr>
            <w:tcW w:w="2038" w:type="dxa"/>
            <w:tcBorders/>
            <w:vAlign w:val="center"/>
          </w:tcPr>
          <w:p>
            <w:pPr>
              <w:pStyle w:val="TableContents"/>
              <w:bidi w:val="0"/>
              <w:spacing w:before="0" w:after="283"/>
              <w:jc w:val="left"/>
              <w:rPr/>
            </w:pPr>
            <w:r>
              <w:rPr/>
              <w:t>9</w:t>
            </w:r>
          </w:p>
        </w:tc>
        <w:tc>
          <w:tcPr>
            <w:tcW w:w="816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658,138.00</w:t>
            </w:r>
          </w:p>
        </w:tc>
      </w:tr>
      <w:tr>
        <w:trPr/>
        <w:tc>
          <w:tcPr>
            <w:tcW w:w="2038" w:type="dxa"/>
            <w:tcBorders/>
            <w:vAlign w:val="center"/>
          </w:tcPr>
          <w:p>
            <w:pPr>
              <w:pStyle w:val="TableContents"/>
              <w:bidi w:val="0"/>
              <w:spacing w:before="0" w:after="283"/>
              <w:jc w:val="left"/>
              <w:rPr/>
            </w:pPr>
            <w:r>
              <w:rPr/>
              <w:t>10</w:t>
            </w:r>
          </w:p>
        </w:tc>
        <w:tc>
          <w:tcPr>
            <w:tcW w:w="816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8" w:type="dxa"/>
            <w:tcBorders/>
            <w:vAlign w:val="center"/>
          </w:tcPr>
          <w:p>
            <w:pPr>
              <w:pStyle w:val="TableContents"/>
              <w:bidi w:val="0"/>
              <w:spacing w:before="0" w:after="283"/>
              <w:jc w:val="left"/>
              <w:rPr/>
            </w:pPr>
            <w:r>
              <w:rPr/>
              <w:t>11</w:t>
            </w:r>
          </w:p>
        </w:tc>
        <w:tc>
          <w:tcPr>
            <w:tcW w:w="816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0.46 % </w:t>
            </w:r>
          </w:p>
        </w:tc>
      </w:tr>
      <w:tr>
        <w:trPr/>
        <w:tc>
          <w:tcPr>
            <w:tcW w:w="2038" w:type="dxa"/>
            <w:tcBorders/>
            <w:vAlign w:val="center"/>
          </w:tcPr>
          <w:p>
            <w:pPr>
              <w:pStyle w:val="TableContents"/>
              <w:bidi w:val="0"/>
              <w:spacing w:before="0" w:after="283"/>
              <w:jc w:val="left"/>
              <w:rPr/>
            </w:pPr>
            <w:r>
              <w:rPr/>
              <w:t>12</w:t>
            </w:r>
          </w:p>
        </w:tc>
        <w:tc>
          <w:tcPr>
            <w:tcW w:w="816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Holdings,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658,138.00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658,138.00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658,138.00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0.46 %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Arbitrage,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658,138.00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658,138.00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658,138.00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0.46 %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Veraxa Biotech Holding AG f/k/a Voyager Acquisition Corp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TALACKER 35, ZURICH, SWITZERLAND 8001</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AQR Capital Management, LLC AQR Capital Management Holdings, LLC AQR Arbitrage, LLC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130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AQR Capital Management, LLC - UNITED STATES AQR Capital Management Holdings, LLC - UNITED STATES AQR Arbitrage, LLC - UNITED STATES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CHF 100/11,325 per share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658,138 The reported amount includes warrants representing 658,138 Ordinary Shares, par value CHF 100/11,325 per share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0.46  %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AQR Capital Management, LLC - 0 AQR Capital Management Holdings, LLC - 0 AQR Arbitrage,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AQR Capital Management, LLC - 658,138 AQR Capital Management Holdings, LLC - 658,138 AQR Arbitrage, LLC - 658,138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AQR Capital Management, LLC - 0 AQR Capital Management Holdings, LLC - 0 AQR Arbitrage,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AQR Capital Management, LLC - 658,138 AQR Capital Management Holdings, LLC - 658,138 AQR Arbitrage, LLC - 658,138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AQR Capital Management,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AQR Capital Management Holdings,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AQR Arbitrage, LLC</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AQR Capital Management Holdings, LLC, AQR Capital Management, LLC, and AQR Arbitrage, LLC hereby agree that this Schedule 13G is filed on behalf of each of the parties. AQR Capital Management, LLC is a wholly owned subsidiary of AQR Capital Management Holdings, LLC. AQR Arbitrage, LLC is deemed to be controlled by AQR Capital Management, LLC.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1234</Words>
  <Characters>6431</Characters>
  <CharactersWithSpaces>7620</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