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6k.htm"/>
      <w:bookmarkStart w:id="1" w:name="ksveraxabiotechag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October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Presentation of </w:t>
      </w:r>
      <w:r>
        <w:rPr>
          <w:rFonts w:ascii="Times New Roman;Times;Serif" w:hAnsi="Times New Roman;Times;Serif"/>
          <w:b/>
          <w:i/>
          <w:caps w:val="false"/>
          <w:smallCaps w:val="false"/>
          <w:sz w:val="20"/>
        </w:rPr>
        <w:t>in vivo</w:t>
      </w:r>
      <w:r>
        <w:rPr>
          <w:rFonts w:ascii="Times New Roman;Times;Serif" w:hAnsi="Times New Roman;Times;Serif"/>
          <w:b/>
          <w:i w:val="false"/>
          <w:caps w:val="false"/>
          <w:smallCaps w:val="false"/>
          <w:sz w:val="20"/>
        </w:rPr>
        <w:t xml:space="preserve"> Proof-of-Concept Data for BiTAC</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-ADC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2026, the Veraxa Biotech AG (the “Company”) issued a press release announcing the presentation of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proof-of-concept data and additional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data validating its novel BiTAC-ADC technology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790" w:type="dxa"/>
        <w:jc w:val="left"/>
        <w:tblInd w:w="0" w:type="dxa"/>
        <w:tblLayout w:type="fixed"/>
        <w:tblCellMar>
          <w:top w:w="0" w:type="dxa"/>
          <w:left w:w="0" w:type="dxa"/>
          <w:bottom w:w="28" w:type="dxa"/>
          <w:right w:w="0" w:type="dxa"/>
        </w:tblCellMar>
      </w:tblPr>
      <w:tblGrid>
        <w:gridCol w:w="665"/>
        <w:gridCol w:w="60"/>
        <w:gridCol w:w="306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65" w:type="dxa"/>
            <w:tcBorders/>
            <w:shd w:fill="CCEEFF" w:val="clear"/>
            <w:tcMar>
              <w:bottom w:w="0" w:type="dxa"/>
            </w:tcMar>
            <w:vAlign w:val="center"/>
          </w:tcPr>
          <w:p>
            <w:pPr>
              <w:pStyle w:val="TableContents"/>
              <w:bidi w:val="0"/>
              <w:spacing w:before="0" w:after="283"/>
              <w:jc w:val="both"/>
              <w:rPr/>
            </w:pPr>
            <w:hyperlink w:anchor="veraxabiotechag_ex99-1.htm">
              <w:r>
                <w:rPr>
                  <w:rStyle w:val="InternetLink"/>
                  <w:rFonts w:ascii="Times New Roman;Times;Serif" w:hAnsi="Times New Roman;Times;Serif"/>
                  <w:b w:val="false"/>
                  <w:i w:val="false"/>
                  <w:caps w:val="false"/>
                  <w:smallCaps w:val="false"/>
                  <w:sz w:val="20"/>
                </w:rPr>
                <w:t>Press Release dated October 13,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2270"/>
        <w:gridCol w:w="710"/>
        <w:gridCol w:w="1955"/>
      </w:tblGrid>
      <w:tr>
        <w:trPr/>
        <w:tc>
          <w:tcPr>
            <w:tcW w:w="227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227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 October 15, 2026</w:t>
            </w:r>
          </w:p>
        </w:tc>
        <w:tc>
          <w:tcPr>
            <w:tcW w:w="71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caps w:val="false"/>
                <w:smallCaps w:val="false"/>
                <w:sz w:val="20"/>
              </w:rPr>
            </w:pPr>
            <w:r>
              <w:rPr>
                <w:rFonts w:ascii="Times New Roman" w:hAnsi="Times New Roman"/>
                <w:b w:val="false"/>
                <w:i/>
                <w:caps w:val="false"/>
                <w:smallCaps w:val="false"/>
                <w:sz w:val="20"/>
              </w:rPr>
              <w:t>/s/ Christoph Antz</w:t>
            </w:r>
          </w:p>
        </w:tc>
      </w:tr>
      <w:tr>
        <w:trPr/>
        <w:tc>
          <w:tcPr>
            <w:tcW w:w="22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22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 w:name="veraxabiotechag_ex99-1.htm"/>
      <w:bookmarkStart w:id="3" w:name="ksveraxabiotechag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 xml:space="preserve">VERAXA Biotech Presents </w:t>
      </w:r>
      <w:r>
        <w:rPr>
          <w:rFonts w:ascii="Times New Roman;Times;Serif" w:hAnsi="Times New Roman;Times;Serif"/>
          <w:b/>
          <w:i/>
          <w:caps w:val="false"/>
          <w:smallCaps w:val="false"/>
          <w:color w:val="59A1A6"/>
          <w:sz w:val="24"/>
        </w:rPr>
        <w:t>in vivo</w:t>
      </w:r>
      <w:r>
        <w:rPr>
          <w:rFonts w:ascii="Times New Roman;Times;Serif" w:hAnsi="Times New Roman;Times;Serif"/>
          <w:b/>
          <w:i w:val="false"/>
          <w:caps w:val="false"/>
          <w:smallCaps w:val="false"/>
          <w:color w:val="59A1A6"/>
          <w:sz w:val="24"/>
        </w:rPr>
        <w:t xml:space="preserve"> Proof-of-Concept Data for</w:t>
        <w:br/>
        <w:t>BiTAC</w:t>
      </w:r>
      <w:r>
        <w:rPr>
          <w:rFonts w:ascii="Times New Roman;Times;Serif" w:hAnsi="Times New Roman;Times;Serif"/>
          <w:b/>
          <w:i w:val="false"/>
          <w:caps w:val="false"/>
          <w:smallCaps w:val="false"/>
          <w:color w:val="59A1A6"/>
          <w:position w:val="8"/>
          <w:sz w:val="19"/>
          <w:sz w:val="24"/>
        </w:rPr>
        <w:t>®</w:t>
      </w:r>
      <w:r>
        <w:rPr>
          <w:rFonts w:ascii="Times New Roman;Times;Serif" w:hAnsi="Times New Roman;Times;Serif"/>
          <w:b/>
          <w:i w:val="false"/>
          <w:caps w:val="false"/>
          <w:smallCaps w:val="false"/>
          <w:color w:val="59A1A6"/>
          <w:sz w:val="24"/>
        </w:rPr>
        <w:t>-ADC Technology at World ADC Congress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2F5496"/>
          <w:sz w:val="20"/>
        </w:rPr>
      </w:pPr>
      <w:r>
        <w:rPr>
          <w:rFonts w:ascii="Times New Roman;Times;Serif" w:hAnsi="Times New Roman;Times;Serif"/>
          <w:b w:val="false"/>
          <w:i w:val="false"/>
          <w:caps w:val="false"/>
          <w:smallCaps w:val="false"/>
          <w:color w:val="2F5496"/>
          <w:sz w:val="20"/>
        </w:rPr>
        <w:t>In vivo data confirm activation of prodrug payload inside tumor cells following systemic administration</w:t>
        <w:br/>
        <w:t>of BiTAC-ADC molecules leading to potent anti-tumor activity</w:t>
      </w:r>
    </w:p>
    <w:p>
      <w:pPr>
        <w:pStyle w:val="TextBody"/>
        <w:bidi w:val="0"/>
        <w:spacing w:before="0" w:after="0"/>
        <w:ind w:left="0" w:right="0" w:hanging="0"/>
        <w:jc w:val="center"/>
        <w:rPr>
          <w:caps w:val="false"/>
          <w:smallCaps w:val="false"/>
          <w:color w:val="2F5496"/>
        </w:rPr>
      </w:pPr>
      <w:r>
        <w:rPr>
          <w:caps w:val="false"/>
          <w:smallCaps w:val="false"/>
          <w:color w:val="2F5496"/>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October 13, 2026 –</w:t>
      </w:r>
      <w:r>
        <w:rPr>
          <w:rFonts w:ascii="Times New Roman;Times;Serif" w:hAnsi="Times New Roman;Times;Serif"/>
          <w:b w:val="false"/>
          <w:i w:val="false"/>
          <w:caps w:val="false"/>
          <w:smallCaps w:val="false"/>
          <w:sz w:val="20"/>
        </w:rPr>
        <w:t xml:space="preserve"> VERAXA Biotech AG (NASDAQ: VRXA; “VERAXA”), an emerging leader in designing novel cancer therapies, today presented first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proof-of-concept data and additional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data validating its novel BiTAC-ADC technology platform at the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World ADC Congress in San Diego, CA, USA. The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data demonstrate that a systemically applied, single dose of the two-component BiTAC-ADC selectively triggered a tumor-specific response resulting in a significant reduction in tumor volume, while continuing to show differentiated safety features and the potential to overcome systemic toxicity, the primary limitation of current ADCs.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data presented at the World ADC Congress showed that treatment with BiTAC-ADCs resulted in strong tumor regression in a xenograft breast cancer model even at a single dose of 3 mg/kg. As intended, BiTAC-ADCs utilizing one non-targeted component, thereby only delivering one component to the tumor, showed no significant effect. A control ADC, engineered by VERAXA using the same conjugation and linker-payload technology and with the same drug-antibody ratio (DAR) as its BiTAC-ADC counterpart, performed similarly. In the BiTAC-ADC treatment arm, no decrease in body weight could be observed.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novel datasets on the BiTAC-ADC platform underline the rapid progress our team has made in demonstrating the potentially transformative safety benefits of BiTAC-ADCs compared to conventional ADCs,” said Christoph Erkel, Ph.D., Chief Scientific Officer at VERAXA. “While BiTAC-TCEs remain our priority, the rapid validation of our BiTAC-ADC concept bodes well for establishing a second pillar in our R&amp;D and partnering strategy towards safer drugs for solid tumor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Demonstrating that BiTAC-ADCs can reach the tumor site following intravenous administration, induce a specific effect only upon arrival of both BiTAC components, and shrink the tumor in a living organism is a significant platform milestone and validates its underlying concept,” added Paul Sauter, Ph.D., Senior Director and Department Head ADC Tech &amp; Chemistry at VERAXA.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poster presented at the World ADC congress also expanded on previously published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and shows that BiTAC-ADCs can discriminate between cancer and healthy cells, require both BiTAC-ADC constructs to be co-targeted to the tumor site and do not release active toxins in the periphery. The BiTAC-ADC concept was also successfully evaluated across a wide range of cancer cell lines and against several validated ADC targets. Taken together, the data sets underline the potential for this novel therapeutic concept with comparable efficacy to a conventional ADC, but a mechanistically highly differentiated safety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BiTAC therapeutic strategy is designed to unlock a new level of precision in cancer treatment via dual-targeting using two complementary precursors and enabling a tumor-restricted activation of the desired therapeutic effect. Applied to the development of antibody drug conjugates (ADCs), the technology delivers a systemically inactive prodrug and a cell-impermeable proactivator through two separate antibodies, each addressing a defined tumor-associated antigen. While the single BiTAC-ADC precursors are therefore not toxic by design, the selective internalization of both components into the same cancer cell leads to dose-dependent cytotoxicity.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data poster presented will be made available on the </w:t>
      </w:r>
      <w:r>
        <w:rPr>
          <w:rFonts w:ascii="Times New Roman;Times;Serif" w:hAnsi="Times New Roman;Times;Serif"/>
          <w:b w:val="false"/>
          <w:i w:val="false"/>
          <w:caps w:val="false"/>
          <w:smallCaps w:val="false"/>
          <w:sz w:val="20"/>
          <w:u w:val="single"/>
        </w:rPr>
        <w:t>Company’s website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bispecific T cell engagers, bispecific ADCs and other innovative formats. Powered by a suite of transformative technologies and guided by rigorous quality-by-design principles, we are rapidly advancing our pipeline of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t>
      </w:r>
      <w:r>
        <w:rPr>
          <w:rFonts w:ascii="Times New Roman;Times;Serif" w:hAnsi="Times New Roman;Times;Serif"/>
          <w:b w:val="false"/>
          <w:i w:val="false"/>
          <w:caps w:val="false"/>
          <w:smallCaps w:val="false"/>
          <w:sz w:val="20"/>
          <w:u w:val="single"/>
        </w:rPr>
        <w:t>https://investors.veraxa.com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the Company’s ability to successfully translate the results obtained in preclinical research into clinical development and marketed therapeutic products. Such forward-looking statements are based on current expectations and involve inherent risks and uncertainties, including factors that could delay, divert or change any of them, and could cause actual outcomes and results to differ materially from current expectations, including the Company’s need for substantial additional funding, which may not be available on acceptable terms or at all; the uncertainties inherent in drug development, including the risk that results of preclinical studies or early-stage clinical trials may not be predictive of results in later-stage trials or in humans, and that interim, topline or preliminary data may change as more patient data become available; the risk that regulatory authorities, including the U.S. Food and Drug Administration, the European Medicines Agency and other comparable authorities, may disagree with the Company’s trial designs, interpretations of data or regulatory strategies, or may not approve its product candidates; the Company’s ability to enter into and maintain collaboration,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or partnering arrangements on favorable terms; competition from other oncology therapies; and the Company’s ability to obtain, maintain, defend and enforce intellectual property protection for its product candidates and technologies. No forward-looking statement can be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in this press release should be evaluated together with the many uncertainties that affect the Company’s business, particularly those identified or referenced herein and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t xml:space="preserve"> </w:t>
        <w:br/>
        <w:t>Christoph Antz, Ph.D.</w:t>
        <w:br/>
        <w:t>Chief Executive Officer, Co-Founder</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r>
      <w:r>
        <w:rPr>
          <w:rFonts w:ascii="Times New Roman;Times;Serif" w:hAnsi="Times New Roman;Times;Serif"/>
          <w:b w:val="false"/>
          <w:i w:val="false"/>
          <w:caps w:val="false"/>
          <w:smallCaps w:val="false"/>
          <w:sz w:val="20"/>
          <w:u w:val="single"/>
        </w:rPr>
        <w:t>VERAXA@icrhealthcare.com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t>Mario Brkulj</w:t>
        <w:br/>
      </w:r>
      <w:r>
        <w:rPr>
          <w:rFonts w:ascii="Times New Roman;Times;Serif" w:hAnsi="Times New Roman;Times;Serif"/>
          <w:b w:val="false"/>
          <w:i w:val="false"/>
          <w:caps w:val="false"/>
          <w:smallCaps w:val="false"/>
          <w:sz w:val="20"/>
          <w:u w:val="single"/>
        </w:rPr>
        <w:t>media@veraxa.com</w:t>
      </w:r>
    </w:p>
    <w:p>
      <w:pPr>
        <w:pStyle w:val="TextBody"/>
        <w:bidi w:val="0"/>
        <w:jc w:val="left"/>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1447</Words>
  <Characters>8433</Characters>
  <CharactersWithSpaces>9908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