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161290</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740" w:hanging="20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1340" w:hanging="214"/>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For the fiscal year ended 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3" w:lineRule="exact"/>
        <w:rPr>
          <w:sz w:val="24"/>
          <w:szCs w:val="24"/>
          <w:color w:val="auto"/>
        </w:rPr>
      </w:pPr>
    </w:p>
    <w:p>
      <w:pPr>
        <w:ind w:left="1140" w:hanging="199"/>
        <w:spacing w:after="0"/>
        <w:tabs>
          <w:tab w:leader="none" w:pos="114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jc w:val="center"/>
        <w:ind w:left="3300" w:right="720" w:hanging="2574"/>
        <w:spacing w:after="0" w:line="500" w:lineRule="auto"/>
        <w:tabs>
          <w:tab w:leader="none" w:pos="93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 June 10, 2026</w:t>
      </w:r>
    </w:p>
    <w:p>
      <w:pPr>
        <w:spacing w:after="0" w:line="1" w:lineRule="exact"/>
        <w:rPr>
          <w:rFonts w:ascii="MS PGothic" w:cs="MS PGothic" w:eastAsia="MS PGothic" w:hAnsi="MS PGothic"/>
          <w:sz w:val="18"/>
          <w:szCs w:val="18"/>
          <w:color w:val="auto"/>
        </w:rPr>
      </w:pPr>
    </w:p>
    <w:p>
      <w:pPr>
        <w:ind w:left="3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29"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001-43342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Veraxa Biotech AG</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Exact name of Registrant as specified in its charter</w:t>
      </w:r>
      <w:r>
        <w:rPr>
          <w:rFonts w:ascii="Times New Roman" w:cs="Times New Roman" w:eastAsia="Times New Roman" w:hAnsi="Times New Roman"/>
          <w:sz w:val="18"/>
          <w:szCs w:val="18"/>
          <w:b w:val="1"/>
          <w:bCs w:val="1"/>
          <w:color w:val="auto"/>
        </w:rPr>
        <w: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80" w:type="dxa"/>
            <w:vAlign w:val="bottom"/>
            <w:tcBorders>
              <w:bottom w:val="single" w:sz="8" w:color="auto"/>
            </w:tcBorders>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r>
      <w:tr>
        <w:trPr>
          <w:trHeight w:val="194"/>
        </w:trPr>
        <w:tc>
          <w:tcPr>
            <w:tcW w:w="3980" w:type="dxa"/>
            <w:vAlign w:val="bottom"/>
          </w:tcPr>
          <w:p>
            <w:pPr>
              <w:jc w:val="center"/>
              <w:ind w:left="14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(Translation of Registrant’s</w:t>
            </w: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38"/>
        </w:trPr>
        <w:tc>
          <w:tcPr>
            <w:tcW w:w="398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name into English)</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organization)</w:t>
            </w:r>
          </w:p>
        </w:tc>
      </w:tr>
      <w:tr>
        <w:trPr>
          <w:trHeight w:val="410"/>
        </w:trPr>
        <w:tc>
          <w:tcPr>
            <w:tcW w:w="3980" w:type="dxa"/>
            <w:vAlign w:val="bottom"/>
          </w:tcPr>
          <w:p>
            <w:pPr>
              <w:spacing w:after="0"/>
              <w:rPr>
                <w:sz w:val="24"/>
                <w:szCs w:val="24"/>
                <w:color w:val="auto"/>
              </w:rPr>
            </w:pPr>
          </w:p>
        </w:tc>
        <w:tc>
          <w:tcPr>
            <w:tcW w:w="7260" w:type="dxa"/>
            <w:vAlign w:val="bottom"/>
            <w:gridSpan w:val="3"/>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8"/>
              </w:rPr>
              <w:t>Talacker 35</w:t>
            </w:r>
          </w:p>
        </w:tc>
      </w:tr>
      <w:tr>
        <w:trPr>
          <w:trHeight w:val="216"/>
        </w:trPr>
        <w:tc>
          <w:tcPr>
            <w:tcW w:w="3980" w:type="dxa"/>
            <w:vAlign w:val="bottom"/>
          </w:tcPr>
          <w:p>
            <w:pPr>
              <w:spacing w:after="0"/>
              <w:rPr>
                <w:sz w:val="18"/>
                <w:szCs w:val="18"/>
                <w:color w:val="auto"/>
              </w:rPr>
            </w:pPr>
          </w:p>
        </w:tc>
        <w:tc>
          <w:tcPr>
            <w:tcW w:w="7260" w:type="dxa"/>
            <w:vAlign w:val="bottom"/>
            <w:gridSpan w:val="3"/>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9"/>
              </w:rPr>
              <w:t>8001 Zurich, Switzerland</w:t>
            </w:r>
          </w:p>
        </w:tc>
      </w:tr>
      <w:tr>
        <w:trPr>
          <w:trHeight w:val="238"/>
        </w:trPr>
        <w:tc>
          <w:tcPr>
            <w:tcW w:w="3980" w:type="dxa"/>
            <w:vAlign w:val="bottom"/>
          </w:tcPr>
          <w:p>
            <w:pPr>
              <w:spacing w:after="0"/>
              <w:rPr>
                <w:sz w:val="20"/>
                <w:szCs w:val="20"/>
                <w:color w:val="auto"/>
              </w:rPr>
            </w:pPr>
          </w:p>
        </w:tc>
        <w:tc>
          <w:tcPr>
            <w:tcW w:w="7260" w:type="dxa"/>
            <w:vAlign w:val="bottom"/>
            <w:gridSpan w:val="3"/>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r>
      <w:tr>
        <w:trPr>
          <w:trHeight w:val="410"/>
        </w:trPr>
        <w:tc>
          <w:tcPr>
            <w:tcW w:w="3980" w:type="dxa"/>
            <w:vAlign w:val="bottom"/>
          </w:tcPr>
          <w:p>
            <w:pPr>
              <w:spacing w:after="0"/>
              <w:rPr>
                <w:sz w:val="24"/>
                <w:szCs w:val="24"/>
                <w:color w:val="auto"/>
              </w:rPr>
            </w:pPr>
          </w:p>
        </w:tc>
        <w:tc>
          <w:tcPr>
            <w:tcW w:w="7260" w:type="dxa"/>
            <w:vAlign w:val="bottom"/>
            <w:gridSpan w:val="3"/>
          </w:tcPr>
          <w:p>
            <w:pPr>
              <w:jc w:val="center"/>
              <w:ind w:right="3890"/>
              <w:spacing w:after="0"/>
              <w:rPr>
                <w:sz w:val="20"/>
                <w:szCs w:val="20"/>
                <w:color w:val="auto"/>
              </w:rPr>
            </w:pPr>
            <w:r>
              <w:rPr>
                <w:rFonts w:ascii="Times New Roman" w:cs="Times New Roman" w:eastAsia="Times New Roman" w:hAnsi="Times New Roman"/>
                <w:sz w:val="18"/>
                <w:szCs w:val="18"/>
                <w:b w:val="1"/>
                <w:bCs w:val="1"/>
                <w:color w:val="auto"/>
              </w:rPr>
              <w:t>Christoph Antz</w:t>
            </w:r>
          </w:p>
        </w:tc>
      </w:tr>
      <w:tr>
        <w:trPr>
          <w:trHeight w:val="216"/>
        </w:trPr>
        <w:tc>
          <w:tcPr>
            <w:tcW w:w="3980" w:type="dxa"/>
            <w:vAlign w:val="bottom"/>
          </w:tcPr>
          <w:p>
            <w:pPr>
              <w:spacing w:after="0"/>
              <w:rPr>
                <w:sz w:val="18"/>
                <w:szCs w:val="18"/>
                <w:color w:val="auto"/>
              </w:rPr>
            </w:pPr>
          </w:p>
        </w:tc>
        <w:tc>
          <w:tcPr>
            <w:tcW w:w="726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Im Neuenheimer Feld 584</w:t>
            </w:r>
          </w:p>
        </w:tc>
      </w:tr>
      <w:tr>
        <w:trPr>
          <w:trHeight w:val="216"/>
        </w:trPr>
        <w:tc>
          <w:tcPr>
            <w:tcW w:w="3980" w:type="dxa"/>
            <w:vAlign w:val="bottom"/>
          </w:tcPr>
          <w:p>
            <w:pPr>
              <w:spacing w:after="0"/>
              <w:rPr>
                <w:sz w:val="18"/>
                <w:szCs w:val="18"/>
                <w:color w:val="auto"/>
              </w:rPr>
            </w:pPr>
          </w:p>
        </w:tc>
        <w:tc>
          <w:tcPr>
            <w:tcW w:w="726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69120 Heidelberg, Germany</w:t>
            </w:r>
          </w:p>
        </w:tc>
      </w:tr>
      <w:tr>
        <w:trPr>
          <w:trHeight w:val="238"/>
        </w:trPr>
        <w:tc>
          <w:tcPr>
            <w:tcW w:w="3980" w:type="dxa"/>
            <w:vAlign w:val="bottom"/>
          </w:tcPr>
          <w:p>
            <w:pPr>
              <w:spacing w:after="0"/>
              <w:rPr>
                <w:sz w:val="20"/>
                <w:szCs w:val="20"/>
                <w:color w:val="auto"/>
              </w:rPr>
            </w:pPr>
          </w:p>
        </w:tc>
        <w:tc>
          <w:tcPr>
            <w:tcW w:w="7260" w:type="dxa"/>
            <w:vAlign w:val="bottom"/>
            <w:gridSpan w:val="3"/>
          </w:tcPr>
          <w:p>
            <w:pPr>
              <w:jc w:val="center"/>
              <w:ind w:right="3890"/>
              <w:spacing w:after="0"/>
              <w:rPr>
                <w:sz w:val="20"/>
                <w:szCs w:val="20"/>
                <w:color w:val="auto"/>
              </w:rPr>
            </w:pPr>
            <w:r>
              <w:rPr>
                <w:rFonts w:ascii="Times New Roman" w:cs="Times New Roman" w:eastAsia="Times New Roman" w:hAnsi="Times New Roman"/>
                <w:sz w:val="18"/>
                <w:szCs w:val="18"/>
                <w:b w:val="1"/>
                <w:bCs w:val="1"/>
                <w:color w:val="auto"/>
                <w:w w:val="98"/>
              </w:rPr>
              <w:t>Tel: +4962213521330</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156845</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CHF 100/11,325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VRXA</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Ordinary</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VRXAW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Capital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at an exercise price of $11.50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574"/>
        </w:trPr>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156845</wp:posOffset>
            </wp:positionV>
            <wp:extent cx="2503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the number of outstanding shares of each of the issuer’s classes of capital or common stock as of the close of the period covered by the shell company report: 141,407,813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xml:space="preserve"> and 22,706,305 </w:t>
      </w:r>
      <w:r>
        <w:rPr>
          <w:rFonts w:ascii="Times New Roman" w:cs="Times New Roman" w:eastAsia="Times New Roman" w:hAnsi="Times New Roman"/>
          <w:sz w:val="18"/>
          <w:szCs w:val="18"/>
          <w:b w:val="1"/>
          <w:bCs w:val="1"/>
          <w:color w:val="auto"/>
        </w:rPr>
        <w:t>warrants to purchase ordinary shares</w:t>
      </w:r>
      <w:r>
        <w:rPr>
          <w:rFonts w:ascii="Times New Roman" w:cs="Times New Roman" w:eastAsia="Times New Roman" w:hAnsi="Times New Roman"/>
          <w:sz w:val="18"/>
          <w:szCs w:val="18"/>
          <w:color w:val="auto"/>
        </w:rPr>
        <w:t xml:space="preserve"> as of June 10, 2026.</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792"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0"/>
          <w:szCs w:val="20"/>
          <w:color w:val="auto"/>
        </w:rPr>
      </w:pPr>
    </w:p>
    <w:p>
      <w:pPr>
        <w:sectPr>
          <w:pgSz w:w="11900" w:h="16838" w:orient="portrait"/>
          <w:cols w:equalWidth="0" w:num="4">
            <w:col w:w="2560" w:space="720"/>
            <w:col w:w="1860" w:space="720"/>
            <w:col w:w="2640" w:space="720"/>
            <w:col w:w="2020"/>
          </w:cols>
          <w:pgMar w:left="320" w:top="792" w:right="339" w:bottom="1440" w:gutter="0" w:footer="0" w:header="0"/>
          <w:type w:val="continuous"/>
        </w:sectPr>
      </w:pPr>
    </w:p>
    <w:p>
      <w:pPr>
        <w:spacing w:after="0" w:line="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792" w:right="339" w:bottom="1440" w:gutter="0" w:footer="0" w:header="0"/>
          <w:type w:val="continuous"/>
        </w:sect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US GAAP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9" w:lineRule="exact"/>
        <w:rPr>
          <w:sz w:val="20"/>
          <w:szCs w:val="20"/>
          <w:color w:val="auto"/>
        </w:rPr>
      </w:pPr>
    </w:p>
    <w:p>
      <w:pPr>
        <w:sectPr>
          <w:pgSz w:w="11900" w:h="16838" w:orient="portrait"/>
          <w:cols w:equalWidth="0" w:num="6">
            <w:col w:w="1100" w:space="700"/>
            <w:col w:w="500" w:space="720"/>
            <w:col w:w="5300" w:space="240"/>
            <w:col w:w="280" w:space="720"/>
            <w:col w:w="520" w:space="720"/>
            <w:col w:w="440"/>
          </w:cols>
          <w:pgMar w:left="320" w:top="792"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5800" w:type="dxa"/>
            <w:vAlign w:val="bottom"/>
            <w:tcBorders>
              <w:bottom w:val="single" w:sz="8" w:color="0000EE"/>
            </w:tcBorders>
            <w:gridSpan w:val="31"/>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CAUTIONARY NOTE REGARDING FORWARD-LOOKING STATEMENTS</w:t>
            </w:r>
          </w:p>
        </w:tc>
        <w:tc>
          <w:tcPr>
            <w:tcW w:w="4440" w:type="dxa"/>
            <w:vAlign w:val="bottom"/>
            <w:tcBorders>
              <w:bottom w:val="single" w:sz="8" w:color="CCEEFF"/>
            </w:tcBorders>
            <w:gridSpan w:val="13"/>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240" w:type="dxa"/>
            <w:vAlign w:val="bottom"/>
            <w:gridSpan w:val="44"/>
          </w:tcPr>
          <w:p>
            <w:pPr>
              <w:spacing w:after="0" w:line="176" w:lineRule="exact"/>
              <w:rPr>
                <w:sz w:val="20"/>
                <w:szCs w:val="20"/>
                <w:color w:val="auto"/>
              </w:rPr>
            </w:pPr>
            <w:r>
              <w:rPr>
                <w:rFonts w:ascii="Times New Roman" w:cs="Times New Roman" w:eastAsia="Times New Roman" w:hAnsi="Times New Roman"/>
                <w:sz w:val="18"/>
                <w:szCs w:val="18"/>
                <w:color w:val="0000EE"/>
              </w:rPr>
              <w:t>EXPLANATORY NOTE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4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DEFINED TERMS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42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w:t>
            </w:r>
          </w:p>
        </w:tc>
        <w:tc>
          <w:tcPr>
            <w:tcW w:w="460" w:type="dxa"/>
            <w:vAlign w:val="bottom"/>
            <w:tcBorders>
              <w:bottom w:val="single" w:sz="8" w:color="CCEEFF"/>
            </w:tcBorders>
            <w:gridSpan w:val="7"/>
            <w:shd w:val="clear" w:color="auto" w:fill="CCEEFF"/>
          </w:tcPr>
          <w:p>
            <w:pPr>
              <w:spacing w:after="0"/>
              <w:rPr>
                <w:sz w:val="17"/>
                <w:szCs w:val="17"/>
                <w:color w:val="auto"/>
              </w:rPr>
            </w:pPr>
          </w:p>
        </w:tc>
        <w:tc>
          <w:tcPr>
            <w:tcW w:w="560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IDENTITY OF DIRECTORS, SENIOR MANAGEMENT AND ADVISERS</w:t>
            </w:r>
          </w:p>
        </w:tc>
        <w:tc>
          <w:tcPr>
            <w:tcW w:w="322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6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3.</w:t>
            </w:r>
          </w:p>
        </w:tc>
        <w:tc>
          <w:tcPr>
            <w:tcW w:w="460" w:type="dxa"/>
            <w:vAlign w:val="bottom"/>
            <w:gridSpan w:val="7"/>
            <w:shd w:val="clear" w:color="auto" w:fill="CCEEFF"/>
          </w:tcPr>
          <w:p>
            <w:pPr>
              <w:spacing w:after="0"/>
              <w:rPr>
                <w:sz w:val="15"/>
                <w:szCs w:val="15"/>
                <w:color w:val="auto"/>
              </w:rPr>
            </w:pP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6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6"/>
              </w:rPr>
              <w:t>ITEM 4.</w:t>
            </w:r>
          </w:p>
        </w:tc>
        <w:tc>
          <w:tcPr>
            <w:tcW w:w="460" w:type="dxa"/>
            <w:vAlign w:val="bottom"/>
            <w:gridSpan w:val="7"/>
          </w:tcPr>
          <w:p>
            <w:pPr>
              <w:spacing w:after="0"/>
              <w:rPr>
                <w:sz w:val="15"/>
                <w:szCs w:val="15"/>
                <w:color w:val="auto"/>
              </w:rPr>
            </w:pP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10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4A.</w:t>
            </w: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7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340" w:type="dxa"/>
            <w:vAlign w:val="bottom"/>
            <w:gridSpan w:val="5"/>
          </w:tcPr>
          <w:p>
            <w:pPr>
              <w:spacing w:after="0"/>
              <w:rPr>
                <w:sz w:val="15"/>
                <w:szCs w:val="15"/>
                <w:color w:val="auto"/>
              </w:rPr>
            </w:pP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6.</w:t>
            </w:r>
          </w:p>
        </w:tc>
        <w:tc>
          <w:tcPr>
            <w:tcW w:w="460" w:type="dxa"/>
            <w:vAlign w:val="bottom"/>
            <w:tcBorders>
              <w:bottom w:val="single" w:sz="8" w:color="CCEEFF"/>
            </w:tcBorders>
            <w:gridSpan w:val="7"/>
            <w:shd w:val="clear" w:color="auto" w:fill="CCEEFF"/>
          </w:tcPr>
          <w:p>
            <w:pPr>
              <w:spacing w:after="0"/>
              <w:rPr>
                <w:sz w:val="17"/>
                <w:szCs w:val="17"/>
                <w:color w:val="auto"/>
              </w:rPr>
            </w:pPr>
          </w:p>
        </w:tc>
        <w:tc>
          <w:tcPr>
            <w:tcW w:w="46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420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6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8.</w:t>
            </w:r>
          </w:p>
        </w:tc>
        <w:tc>
          <w:tcPr>
            <w:tcW w:w="460" w:type="dxa"/>
            <w:vAlign w:val="bottom"/>
            <w:gridSpan w:val="7"/>
            <w:shd w:val="clear" w:color="auto" w:fill="CCEEFF"/>
          </w:tcPr>
          <w:p>
            <w:pPr>
              <w:spacing w:after="0"/>
              <w:rPr>
                <w:sz w:val="17"/>
                <w:szCs w:val="17"/>
                <w:color w:val="auto"/>
              </w:rPr>
            </w:pP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340" w:type="dxa"/>
            <w:vAlign w:val="bottom"/>
            <w:tcBorders>
              <w:top w:val="single" w:sz="8" w:color="CCEEFF"/>
            </w:tcBorders>
          </w:tcPr>
          <w:p>
            <w:pPr>
              <w:spacing w:after="0"/>
              <w:rPr>
                <w:sz w:val="15"/>
                <w:szCs w:val="15"/>
                <w:color w:val="auto"/>
              </w:rPr>
            </w:pPr>
          </w:p>
        </w:tc>
        <w:tc>
          <w:tcPr>
            <w:tcW w:w="6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6"/>
              </w:rPr>
              <w:t>ITEM 9.</w:t>
            </w:r>
          </w:p>
        </w:tc>
        <w:tc>
          <w:tcPr>
            <w:tcW w:w="460" w:type="dxa"/>
            <w:vAlign w:val="bottom"/>
            <w:tcBorders>
              <w:top w:val="single" w:sz="8" w:color="CCEEFF"/>
            </w:tcBorders>
            <w:gridSpan w:val="7"/>
          </w:tcPr>
          <w:p>
            <w:pPr>
              <w:spacing w:after="0"/>
              <w:rPr>
                <w:sz w:val="15"/>
                <w:szCs w:val="15"/>
                <w:color w:val="auto"/>
              </w:rPr>
            </w:pPr>
          </w:p>
        </w:tc>
        <w:tc>
          <w:tcPr>
            <w:tcW w:w="22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6580" w:type="dxa"/>
            <w:vAlign w:val="bottom"/>
            <w:tcBorders>
              <w:top w:val="single" w:sz="8" w:color="CCEEFF"/>
            </w:tcBorders>
            <w:gridSpan w:val="2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10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11.</w:t>
            </w:r>
          </w:p>
        </w:tc>
        <w:tc>
          <w:tcPr>
            <w:tcW w:w="380" w:type="dxa"/>
            <w:vAlign w:val="bottom"/>
            <w:gridSpan w:val="6"/>
          </w:tcPr>
          <w:p>
            <w:pPr>
              <w:spacing w:after="0"/>
              <w:rPr>
                <w:sz w:val="15"/>
                <w:szCs w:val="15"/>
                <w:color w:val="auto"/>
              </w:rPr>
            </w:pP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10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10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10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16A.</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10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16B.</w:t>
            </w: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16C.</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16D.</w:t>
            </w:r>
          </w:p>
        </w:tc>
        <w:tc>
          <w:tcPr>
            <w:tcW w:w="240" w:type="dxa"/>
            <w:vAlign w:val="bottom"/>
            <w:tcBorders>
              <w:bottom w:val="single" w:sz="8" w:color="CCEEFF"/>
            </w:tcBorders>
            <w:shd w:val="clear" w:color="auto" w:fill="CCEEFF"/>
          </w:tcPr>
          <w:p>
            <w:pPr>
              <w:spacing w:after="0"/>
              <w:rPr>
                <w:sz w:val="17"/>
                <w:szCs w:val="17"/>
                <w:color w:val="auto"/>
              </w:rPr>
            </w:pPr>
          </w:p>
        </w:tc>
        <w:tc>
          <w:tcPr>
            <w:tcW w:w="616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6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5"/>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16E.</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10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16F.</w:t>
            </w: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16G.</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16H.</w:t>
            </w:r>
          </w:p>
        </w:tc>
        <w:tc>
          <w:tcPr>
            <w:tcW w:w="24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w:t>
            </w:r>
          </w:p>
        </w:tc>
        <w:tc>
          <w:tcPr>
            <w:tcW w:w="648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6"/>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16I.</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16J.</w:t>
            </w:r>
          </w:p>
        </w:tc>
        <w:tc>
          <w:tcPr>
            <w:tcW w:w="300" w:type="dxa"/>
            <w:vAlign w:val="bottom"/>
            <w:tcBorders>
              <w:bottom w:val="single" w:sz="8" w:color="CCEEFF"/>
            </w:tcBorders>
            <w:gridSpan w:val="3"/>
            <w:shd w:val="clear" w:color="auto" w:fill="CCEEFF"/>
          </w:tcPr>
          <w:p>
            <w:pPr>
              <w:spacing w:after="0"/>
              <w:rPr>
                <w:sz w:val="17"/>
                <w:szCs w:val="17"/>
                <w:color w:val="auto"/>
              </w:rPr>
            </w:pPr>
          </w:p>
        </w:tc>
        <w:tc>
          <w:tcPr>
            <w:tcW w:w="24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INSIDER TRADING POLICIES</w:t>
            </w:r>
          </w:p>
        </w:tc>
        <w:tc>
          <w:tcPr>
            <w:tcW w:w="6420" w:type="dxa"/>
            <w:vAlign w:val="bottom"/>
            <w:tcBorders>
              <w:bottom w:val="single" w:sz="8" w:color="CCEEFF"/>
            </w:tcBorders>
            <w:gridSpan w:val="2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5"/>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16K.</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4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17.</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10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18.</w:t>
            </w:r>
          </w:p>
        </w:tc>
        <w:tc>
          <w:tcPr>
            <w:tcW w:w="88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ITEM 19.</w:t>
            </w:r>
          </w:p>
        </w:tc>
        <w:tc>
          <w:tcPr>
            <w:tcW w:w="88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3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4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Shell Company Report on Form 20-F (including information incorporated by reference herein,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contains or may contain forward-looking statements as defined in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“expects,” “intends,” “plans,” “believes,” “anticipates,” “estimates,” and variations of such words and similar expressions are intended to identify the forward-looking statements. Unless otherwise stated or unless the context otherwise requires,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are to the registrant named “Veraxa Biotech AG” (previously named Veraxa Biotech Holding AG prior to the consummation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 Swiss stock corporation (Aktiengesellschaft), and subsequently the listed combined public company resulting from the Closing, whereas references to references to “</w:t>
      </w:r>
      <w:r>
        <w:rPr>
          <w:rFonts w:ascii="Times New Roman" w:cs="Times New Roman" w:eastAsia="Times New Roman" w:hAnsi="Times New Roman"/>
          <w:sz w:val="18"/>
          <w:szCs w:val="18"/>
          <w:b w:val="1"/>
          <w:bCs w:val="1"/>
          <w:color w:val="auto"/>
        </w:rPr>
        <w:t>SPAC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Voyager</w:t>
      </w:r>
      <w:r>
        <w:rPr>
          <w:rFonts w:ascii="Times New Roman" w:cs="Times New Roman" w:eastAsia="Times New Roman" w:hAnsi="Times New Roman"/>
          <w:sz w:val="18"/>
          <w:szCs w:val="18"/>
          <w:color w:val="auto"/>
        </w:rPr>
        <w:t>” are to Voyager Acquisition Corp., a Cayman Islands exempted company prior to the Closing and references to “</w:t>
      </w:r>
      <w:r>
        <w:rPr>
          <w:rFonts w:ascii="Times New Roman" w:cs="Times New Roman" w:eastAsia="Times New Roman" w:hAnsi="Times New Roman"/>
          <w:sz w:val="18"/>
          <w:szCs w:val="18"/>
          <w:b w:val="1"/>
          <w:bCs w:val="1"/>
          <w:color w:val="auto"/>
        </w:rPr>
        <w:t>Veraxa</w:t>
      </w:r>
      <w:r>
        <w:rPr>
          <w:rFonts w:ascii="Times New Roman" w:cs="Times New Roman" w:eastAsia="Times New Roman" w:hAnsi="Times New Roman"/>
          <w:sz w:val="18"/>
          <w:szCs w:val="18"/>
          <w:color w:val="auto"/>
        </w:rPr>
        <w:t>” are to Veraxa Biotech AG and its subsidiary prior to the Closing and to PubCo and its subsidiary after the Closing. Forward-looking statements in this Report may include, for example, statements about:</w:t>
      </w:r>
    </w:p>
    <w:p>
      <w:pPr>
        <w:spacing w:after="0" w:line="18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Business Combination;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and business performance following the Business Combination, including financial projections and business metrics;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mission, goals and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of the cancer therapeutics and healthcare industry, and PubCo’s ability to grow its market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PubCo’s revenues, costs or expenditures;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expectations regarding demand for and market acceptance of PubCo’s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expectations regarding its relationships with users, customers and third-party business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PubCo’s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ability to obtain funding for its operations and future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PubCo’s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expected outcomes of clinical trials, preclinical studies, regulatory submissions and approvals;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benefits of Veraxa’s business and scientific approach and technology, including its Click Chemistry ADC platforms and BiTAC platforms;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and efficacy of Veraxa’s product candidates, including VX-A901 for acute myeloid leukemia;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Veraxa’s ability to successfully develop, advance and commercialize its pipeline of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profitability of Veraxa’s collaborations and partnerships, its ability to maintain current collaborations and partnerships and enter into new collaborations and partnerships;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future revenue, expenses, capital requirements and need for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market opportunity for Veraxa’s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the oncology and biotechnology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Veraxa’s expansion plans and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Veraxa’s ability to grow its business in a cost-effective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Veraxa’s expectations regarding its ability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and other global events on Veraxa’s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25" w:lineRule="exact"/>
        <w:rPr>
          <w:sz w:val="20"/>
          <w:szCs w:val="20"/>
          <w:color w:val="auto"/>
        </w:rPr>
      </w:pPr>
    </w:p>
    <w:p>
      <w:pPr>
        <w:jc w:val="both"/>
        <w:ind w:firstLine="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their nature, forward-looking statements involve known and unknown risks and uncertainties because they relate to events and depend on circumstances that may or may not occur in the future and are based on potentially inaccurate assumptions. Forward-looking statements are not guarantees of future performance. The risks outlined above and others described in the section entitled “</w:t>
      </w:r>
      <w:hyperlink r:id="rId21">
        <w:r>
          <w:rPr>
            <w:rFonts w:ascii="Times New Roman" w:cs="Times New Roman" w:eastAsia="Times New Roman" w:hAnsi="Times New Roman"/>
            <w:sz w:val="18"/>
            <w:szCs w:val="18"/>
            <w:u w:val="single" w:color="auto"/>
            <w:color w:val="0000EE"/>
          </w:rPr>
          <w:t>Risk Factors</w:t>
        </w:r>
      </w:hyperlink>
      <w:r>
        <w:rPr>
          <w:rFonts w:ascii="Times New Roman" w:cs="Times New Roman" w:eastAsia="Times New Roman" w:hAnsi="Times New Roman"/>
          <w:sz w:val="18"/>
          <w:szCs w:val="18"/>
          <w:color w:val="auto"/>
        </w:rPr>
        <w:t>” are not exhaustive. Other sections of this Report describe additional factors that could adversely affect the results of operations, financial condition, liquidity and the development of SPAC, Veraxa and PubCo, the industry the Company operates in and risks relating to the Business Combination. New risks can emerge from time to time, and it is not possible to predict all such risks, nor can it be assessed the impact of all such risks on Veraxa’s business or to the extent which any such risks or combinations of risks and other factors may cause actual results to differ materially from those contained in any forward-looking statements. Given these results and uncertainties, you should not rely on forward-looking statements as a prediction of actual results.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Accordingly, you should not place undue reliance on these forward-looking statements, which speak only as of the date of this Report. The Company does not undertake any obligation to publicly revise any forward-looking statement to reflect circumstances or events after the date of this Report or to reflect the occurrence of unanticipated events. You should, however, review the factors and risks described in the reports filed by SPAC (prior to the Acquisition Closing) or PubCo (after the Acquisition Closing) from time to time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after the date of this Report.</w:t>
      </w:r>
    </w:p>
    <w:p>
      <w:pPr>
        <w:spacing w:after="0" w:line="183"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risk factors and cautionary language referred to or incorporated by reference in this Report provide examples of risks, uncertainties and events that may cause actual results to differ materially from the expectations described in our forward-looking statements, including among other things, the </w:t>
      </w:r>
      <w:hyperlink r:id="rId22">
        <w:r>
          <w:rPr>
            <w:rFonts w:ascii="Times New Roman" w:cs="Times New Roman" w:eastAsia="Times New Roman" w:hAnsi="Times New Roman"/>
            <w:sz w:val="18"/>
            <w:szCs w:val="18"/>
            <w:color w:val="auto"/>
          </w:rPr>
          <w:t>items identified in the section entitled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in the final proxy statement/prospectus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which is part of </w:t>
        </w:r>
        <w:r>
          <w:rPr>
            <w:rFonts w:ascii="Times New Roman" w:cs="Times New Roman" w:eastAsia="Times New Roman" w:hAnsi="Times New Roman"/>
            <w:sz w:val="18"/>
            <w:szCs w:val="18"/>
            <w:u w:val="single" w:color="auto"/>
            <w:color w:val="0000EE"/>
          </w:rPr>
          <w:t>the Registration Statement</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on Form F-4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333-289108) filed with the SEC and declared effective on February 12, 2026, which section is incorporated by reference into this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10, 2026, the Company (as defined below) consummated the previously announced business combination pursuant to the Business Combination Agreement dated as of April 22, 2025, as amended on October 18, 2025 and further amended on February 2, 2026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 by and among Voyager, Veraxa, and Oliver Baumann, an individual, solely in his capacity as representative for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 “</w:t>
      </w:r>
      <w:r>
        <w:rPr>
          <w:rFonts w:ascii="Times New Roman" w:cs="Times New Roman" w:eastAsia="Times New Roman" w:hAnsi="Times New Roman"/>
          <w:sz w:val="18"/>
          <w:szCs w:val="18"/>
          <w:b w:val="1"/>
          <w:bCs w:val="1"/>
          <w:color w:val="auto"/>
        </w:rPr>
        <w:t>Shareholder Representative</w:t>
      </w:r>
      <w:r>
        <w:rPr>
          <w:rFonts w:ascii="Times New Roman" w:cs="Times New Roman" w:eastAsia="Times New Roman" w:hAnsi="Times New Roman"/>
          <w:sz w:val="18"/>
          <w:szCs w:val="18"/>
          <w:color w:val="auto"/>
        </w:rPr>
        <w:t>”). Capitalized terms used in this section but not otherwise defined herein have the meanings given to them in the Business Combination Agreement. Pursuant to the Business Combination Agreement and the Ancillary Agreements:</w:t>
      </w:r>
    </w:p>
    <w:p>
      <w:pPr>
        <w:spacing w:after="0" w:line="179" w:lineRule="exact"/>
        <w:rPr>
          <w:sz w:val="20"/>
          <w:szCs w:val="20"/>
          <w:color w:val="auto"/>
        </w:rPr>
      </w:pPr>
    </w:p>
    <w:p>
      <w:pPr>
        <w:jc w:val="both"/>
        <w:ind w:left="980" w:hanging="324"/>
        <w:spacing w:after="0" w:line="268"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Initial Closing, Voyager Acquisition Sponsor Holdco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Nominee Shareholder</w:t>
      </w:r>
      <w:r>
        <w:rPr>
          <w:rFonts w:ascii="Times New Roman" w:cs="Times New Roman" w:eastAsia="Times New Roman" w:hAnsi="Times New Roman"/>
          <w:sz w:val="18"/>
          <w:szCs w:val="18"/>
          <w:color w:val="auto"/>
        </w:rPr>
        <w:t>”) transferred all of the Company Ordinary Shares held by the Nominee Shareholder to the Contribution Agent, subject to the terms and conditions of the Contribution Agent Agreement;</w:t>
      </w:r>
    </w:p>
    <w:p>
      <w:pPr>
        <w:spacing w:after="0" w:line="17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Initial Merger Effective Time on June 5, 2026, SPAC merged with and into Merger Sub, with Merger Sub being the surviving company and a wholly owned subsidiary of PubCo;</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Initial Merger, Merger Sub issued Merger Sub Shares to the Contribution Agent, acting in its own name but for the account of SPAC and the SPAC Shareholders;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Initial Merger, the Contribution Agent contributed the Merger Sub Shares to PubCo, free and clear of all Liens, as an equity contribution into the capital contribution reserves (Zuschuss in die Kapitaleinlagereserven) without consideration;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Contribution, the Contribution Agent delivered to (i) the SPAC Shareholders, the Company Ordinary Shares transferred to the Contribution Agent by the Nominee Shareholder, and (ii) to the holders of SPAC Warrants, the Company Warrants;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Initial Merger and the Contribution, Merger Sub distributed all of its assets and liabilities to PubCo as liquidating distributions and adopted a resolution to dissolve under Cayman Law;</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Acquisition Effective Time on June 8, 2026, which occurred not earlier than twenty-four hours following the Initial Merger Effective Time, Veraxa Biotech AG merged with and into PubCo (the “</w:t>
      </w:r>
      <w:r>
        <w:rPr>
          <w:rFonts w:ascii="Times New Roman" w:cs="Times New Roman" w:eastAsia="Times New Roman" w:hAnsi="Times New Roman"/>
          <w:sz w:val="18"/>
          <w:szCs w:val="18"/>
          <w:b w:val="1"/>
          <w:bCs w:val="1"/>
          <w:color w:val="auto"/>
        </w:rPr>
        <w:t>Acquisition Merger</w:t>
      </w:r>
      <w:r>
        <w:rPr>
          <w:rFonts w:ascii="Times New Roman" w:cs="Times New Roman" w:eastAsia="Times New Roman" w:hAnsi="Times New Roman"/>
          <w:sz w:val="18"/>
          <w:szCs w:val="18"/>
          <w:color w:val="auto"/>
        </w:rPr>
        <w:t>”), with PubCo being the surviving company;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Acquisition Merger, each Company Share issued and outstanding immediately prior to the Acquisition Effective Time (other than treasury shares and Dissenting Shares) was automatically cancelled and ceased to exist in exchange for the right to receive such fraction of a newly issued PubCo Ordinary Share equal to the Exchange Ratio;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Acquisition Effective Time, the separate corporate existence of the Company ceased to exist, and all property, rights, privileges, agreements, powers and franchises, liabilities and duties of the Company vested in and became the property, rights, privileges, agreements, powers and franchises, liabilities and duties of PubCo as the surviving company.</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27, 2026, SPAC, PubCo and High Trail Capital LP (“</w:t>
      </w:r>
      <w:r>
        <w:rPr>
          <w:rFonts w:ascii="Times New Roman" w:cs="Times New Roman" w:eastAsia="Times New Roman" w:hAnsi="Times New Roman"/>
          <w:sz w:val="18"/>
          <w:szCs w:val="18"/>
          <w:b w:val="1"/>
          <w:bCs w:val="1"/>
          <w:color w:val="auto"/>
        </w:rPr>
        <w:t>HTC</w:t>
      </w:r>
      <w:r>
        <w:rPr>
          <w:rFonts w:ascii="Times New Roman" w:cs="Times New Roman" w:eastAsia="Times New Roman" w:hAnsi="Times New Roman"/>
          <w:sz w:val="18"/>
          <w:szCs w:val="18"/>
          <w:color w:val="auto"/>
        </w:rPr>
        <w:t>”) executed a Securities Purchase Agreement in respect of a private placement of a senior secured note in the principal amount of $27,500,000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a four-year warrant for an aggregate exercise price of $27.5 million, with an initial exercise price of $11.50 per share (with customary anti-dilution protections) (the “</w:t>
      </w:r>
      <w:r>
        <w:rPr>
          <w:rFonts w:ascii="Times New Roman" w:cs="Times New Roman" w:eastAsia="Times New Roman" w:hAnsi="Times New Roman"/>
          <w:sz w:val="18"/>
          <w:szCs w:val="18"/>
          <w:b w:val="1"/>
          <w:bCs w:val="1"/>
          <w:color w:val="auto"/>
        </w:rPr>
        <w:t>HTC Financing</w:t>
      </w:r>
      <w:r>
        <w:rPr>
          <w:rFonts w:ascii="Times New Roman" w:cs="Times New Roman" w:eastAsia="Times New Roman" w:hAnsi="Times New Roman"/>
          <w:sz w:val="18"/>
          <w:szCs w:val="18"/>
          <w:color w:val="auto"/>
        </w:rPr>
        <w:t>”). The closing of the HTC Financing occurred on June 15, 2026. The term of the Note is 15 months, amortizing monthly beginning six months after the closing of the HTC Financing. At PubCo’s sole option and subject to customary conditions, any amortization payment may be made in cash, in registered-for-resale shares of common stock, or a combination thereof. The Note is a senior secured obligation of PubCo, secured by all PubCo assets and ranking senior to all other PubCo obligations. Funding occurred concurrently with the closing of the HTC Financing.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27, 2026, Voyager, PubCo and Lincoln Park Capital Fund, LLC (“</w:t>
      </w:r>
      <w:r>
        <w:rPr>
          <w:rFonts w:ascii="Times New Roman" w:cs="Times New Roman" w:eastAsia="Times New Roman" w:hAnsi="Times New Roman"/>
          <w:sz w:val="18"/>
          <w:szCs w:val="18"/>
          <w:b w:val="1"/>
          <w:bCs w:val="1"/>
          <w:color w:val="auto"/>
        </w:rPr>
        <w:t>Lincoln Park</w:t>
      </w:r>
      <w:r>
        <w:rPr>
          <w:rFonts w:ascii="Times New Roman" w:cs="Times New Roman" w:eastAsia="Times New Roman" w:hAnsi="Times New Roman"/>
          <w:sz w:val="18"/>
          <w:szCs w:val="18"/>
          <w:color w:val="auto"/>
        </w:rPr>
        <w:t>”) entered into a purchase agreement (the “</w:t>
      </w:r>
      <w:r>
        <w:rPr>
          <w:rFonts w:ascii="Times New Roman" w:cs="Times New Roman" w:eastAsia="Times New Roman" w:hAnsi="Times New Roman"/>
          <w:sz w:val="18"/>
          <w:szCs w:val="18"/>
          <w:b w:val="1"/>
          <w:bCs w:val="1"/>
          <w:color w:val="auto"/>
        </w:rPr>
        <w:t>LPC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and a related registration rights agreement (together, the “</w:t>
      </w:r>
      <w:r>
        <w:rPr>
          <w:rFonts w:ascii="Times New Roman" w:cs="Times New Roman" w:eastAsia="Times New Roman" w:hAnsi="Times New Roman"/>
          <w:sz w:val="18"/>
          <w:szCs w:val="18"/>
          <w:b w:val="1"/>
          <w:bCs w:val="1"/>
          <w:color w:val="auto"/>
        </w:rPr>
        <w:t>LPC Agreements</w:t>
      </w:r>
      <w:r>
        <w:rPr>
          <w:rFonts w:ascii="Times New Roman" w:cs="Times New Roman" w:eastAsia="Times New Roman" w:hAnsi="Times New Roman"/>
          <w:sz w:val="18"/>
          <w:szCs w:val="18"/>
          <w:color w:val="auto"/>
        </w:rPr>
        <w:t>”), pursuant to which Lincoln Park committed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at PubCo’s sole direction from time to time over a 24-month period, up to an aggregate of $50,000,000 of PubCo Ordinary Shares at market-based purchase prices, subject to certain conditions and limitations, including a 4.99% beneficial ownership cap (increasable to 9.99% upon 61 days’ prior written notice) (the “</w:t>
      </w:r>
      <w:r>
        <w:rPr>
          <w:rFonts w:ascii="Times New Roman" w:cs="Times New Roman" w:eastAsia="Times New Roman" w:hAnsi="Times New Roman"/>
          <w:sz w:val="18"/>
          <w:szCs w:val="18"/>
          <w:b w:val="1"/>
          <w:bCs w:val="1"/>
          <w:color w:val="auto"/>
        </w:rPr>
        <w:t>LPC Financing</w:t>
      </w:r>
      <w:r>
        <w:rPr>
          <w:rFonts w:ascii="Times New Roman" w:cs="Times New Roman" w:eastAsia="Times New Roman" w:hAnsi="Times New Roman"/>
          <w:sz w:val="18"/>
          <w:szCs w:val="18"/>
          <w:color w:val="auto"/>
        </w:rPr>
        <w:t>”). As consideration for Lincoln Park’s commitment, PubCo shall issue to Lincoln Park $750,000 of PubCo Ordinary Shares (the “</w:t>
      </w:r>
      <w:r>
        <w:rPr>
          <w:rFonts w:ascii="Times New Roman" w:cs="Times New Roman" w:eastAsia="Times New Roman" w:hAnsi="Times New Roman"/>
          <w:sz w:val="18"/>
          <w:szCs w:val="18"/>
          <w:b w:val="1"/>
          <w:bCs w:val="1"/>
          <w:color w:val="auto"/>
        </w:rPr>
        <w:t>Commitment Shares</w:t>
      </w:r>
      <w:r>
        <w:rPr>
          <w:rFonts w:ascii="Times New Roman" w:cs="Times New Roman" w:eastAsia="Times New Roman" w:hAnsi="Times New Roman"/>
          <w:sz w:val="18"/>
          <w:szCs w:val="18"/>
          <w:color w:val="auto"/>
        </w:rPr>
        <w:t>”), subject to the occurrence of the Merger Closing. PubCo has the right to terminate the LPC Purchase Agreement at any time after the commencement date with one business day’s prior written notice to Lincoln Park, at no cost or penalty.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27, 2026, Voyager, PubCo and Cantor Fitzgerald &amp; Co. (“</w:t>
      </w:r>
      <w:r>
        <w:rPr>
          <w:rFonts w:ascii="Times New Roman" w:cs="Times New Roman" w:eastAsia="Times New Roman" w:hAnsi="Times New Roman"/>
          <w:sz w:val="18"/>
          <w:szCs w:val="18"/>
          <w:b w:val="1"/>
          <w:bCs w:val="1"/>
          <w:color w:val="auto"/>
        </w:rPr>
        <w:t>CF&amp;CO</w:t>
      </w:r>
      <w:r>
        <w:rPr>
          <w:rFonts w:ascii="Times New Roman" w:cs="Times New Roman" w:eastAsia="Times New Roman" w:hAnsi="Times New Roman"/>
          <w:sz w:val="18"/>
          <w:szCs w:val="18"/>
          <w:color w:val="auto"/>
        </w:rPr>
        <w:t>”) executed a Fee Modification Agreement (the “</w:t>
      </w:r>
      <w:r>
        <w:rPr>
          <w:rFonts w:ascii="Times New Roman" w:cs="Times New Roman" w:eastAsia="Times New Roman" w:hAnsi="Times New Roman"/>
          <w:sz w:val="18"/>
          <w:szCs w:val="18"/>
          <w:b w:val="1"/>
          <w:bCs w:val="1"/>
          <w:color w:val="auto"/>
        </w:rPr>
        <w:t>Fee Modification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parties agreed to modify the payment terms of the $12,045,000 deferred underwriting commission (the “</w:t>
      </w:r>
      <w:r>
        <w:rPr>
          <w:rFonts w:ascii="Times New Roman" w:cs="Times New Roman" w:eastAsia="Times New Roman" w:hAnsi="Times New Roman"/>
          <w:sz w:val="18"/>
          <w:szCs w:val="18"/>
          <w:b w:val="1"/>
          <w:bCs w:val="1"/>
          <w:color w:val="auto"/>
        </w:rPr>
        <w:t>Original Deferred Fee</w:t>
      </w:r>
      <w:r>
        <w:rPr>
          <w:rFonts w:ascii="Times New Roman" w:cs="Times New Roman" w:eastAsia="Times New Roman" w:hAnsi="Times New Roman"/>
          <w:sz w:val="18"/>
          <w:szCs w:val="18"/>
          <w:color w:val="auto"/>
        </w:rPr>
        <w:t>”) owed to CF&amp;CO under the Underwriting Agreement dated August 8, 2024 (the “</w:t>
      </w:r>
      <w:r>
        <w:rPr>
          <w:rFonts w:ascii="Times New Roman" w:cs="Times New Roman" w:eastAsia="Times New Roman" w:hAnsi="Times New Roman"/>
          <w:sz w:val="18"/>
          <w:szCs w:val="18"/>
          <w:b w:val="1"/>
          <w:bCs w:val="1"/>
          <w:color w:val="auto"/>
        </w:rPr>
        <w:t>CF&amp;CO Fee Modification</w:t>
      </w:r>
      <w:r>
        <w:rPr>
          <w:rFonts w:ascii="Times New Roman" w:cs="Times New Roman" w:eastAsia="Times New Roman" w:hAnsi="Times New Roman"/>
          <w:sz w:val="18"/>
          <w:szCs w:val="18"/>
          <w:color w:val="auto"/>
        </w:rPr>
        <w:t>”). Under the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Agreement, the Original Deferred Fee was replaced with a modified deferred fee consisting of (i) a cash fee of $1,000,000 ($500,000 payable at the Closing and $500,000 payable on or prior to the one-year anniversary of the Closing) and (ii) $7,000,000 in shares of PubCo common stock (the “</w:t>
      </w:r>
      <w:r>
        <w:rPr>
          <w:rFonts w:ascii="Times New Roman" w:cs="Times New Roman" w:eastAsia="Times New Roman" w:hAnsi="Times New Roman"/>
          <w:sz w:val="18"/>
          <w:szCs w:val="18"/>
          <w:b w:val="1"/>
          <w:bCs w:val="1"/>
          <w:color w:val="auto"/>
        </w:rPr>
        <w:t>CF&amp;CO Fee Shares</w:t>
      </w:r>
      <w:r>
        <w:rPr>
          <w:rFonts w:ascii="Times New Roman" w:cs="Times New Roman" w:eastAsia="Times New Roman" w:hAnsi="Times New Roman"/>
          <w:sz w:val="18"/>
          <w:szCs w:val="18"/>
          <w:color w:val="auto"/>
        </w:rPr>
        <w:t>”), payable in two tranches ($2,300,000 no later than 30 days following the Closing and $4,700,000 no later than 90 days following the Closing), with the number of CF&amp;CO Fee Shares determined based on the greater of $10.00 per share and the five-day VWAP preceding the applicable registration statement filing date. The CF&amp;CO Fee Shares are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that appear in this Report may not sum due to rounding.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Report:</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Closing</w:t>
      </w:r>
      <w:r>
        <w:rPr>
          <w:rFonts w:ascii="Times New Roman" w:cs="Times New Roman" w:eastAsia="Times New Roman" w:hAnsi="Times New Roman"/>
          <w:sz w:val="18"/>
          <w:szCs w:val="18"/>
          <w:color w:val="auto"/>
        </w:rPr>
        <w:t>” means the closing of the transactions contemplated by the Business Combination Agreement with respect to the Acquisition Merger.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Closing Date</w:t>
      </w:r>
      <w:r>
        <w:rPr>
          <w:rFonts w:ascii="Times New Roman" w:cs="Times New Roman" w:eastAsia="Times New Roman" w:hAnsi="Times New Roman"/>
          <w:sz w:val="18"/>
          <w:szCs w:val="18"/>
          <w:color w:val="auto"/>
        </w:rPr>
        <w:t>” means the day on which the Acquisition Closing occurs.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Effective Time</w:t>
      </w:r>
      <w:r>
        <w:rPr>
          <w:rFonts w:ascii="Times New Roman" w:cs="Times New Roman" w:eastAsia="Times New Roman" w:hAnsi="Times New Roman"/>
          <w:sz w:val="18"/>
          <w:szCs w:val="18"/>
          <w:color w:val="auto"/>
        </w:rPr>
        <w:t>” means the time at which the Acquisition Merger has been registered with the respective commercial register.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Merger</w:t>
      </w:r>
      <w:r>
        <w:rPr>
          <w:rFonts w:ascii="Times New Roman" w:cs="Times New Roman" w:eastAsia="Times New Roman" w:hAnsi="Times New Roman"/>
          <w:sz w:val="18"/>
          <w:szCs w:val="18"/>
          <w:color w:val="auto"/>
        </w:rPr>
        <w:t>” means, pursuant to the Business Combination Agreement, Veraxa Biotech AG’s merger with and into PubCo, with PubCo as the surviving entity in the merger.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means the proposal to be considered at the extraordinary general meeting to adjourn the extraordinary general meeting to a later date or dates, if necessary to permit further solicitation and vote of proxies if it is determined by SPAC that more time is necessary or appropriate to approve one or more proposals at the extraordinary general meeting.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Assumption and Amendment Agreement</w:t>
      </w:r>
      <w:r>
        <w:rPr>
          <w:rFonts w:ascii="Times New Roman" w:cs="Times New Roman" w:eastAsia="Times New Roman" w:hAnsi="Times New Roman"/>
          <w:sz w:val="18"/>
          <w:szCs w:val="18"/>
          <w:color w:val="auto"/>
        </w:rPr>
        <w:t>” means the assignment, assumption and amendment agreement to be executed on or prior to the Initial Closing, by and among PubCo, SPAC and the warrant agent thereunder.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means the total of the Initial Merger, Acquisition Merger, and the other transactions contemplated by the Business Combination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BCA</w:t>
      </w:r>
      <w:r>
        <w:rPr>
          <w:rFonts w:ascii="Times New Roman" w:cs="Times New Roman" w:eastAsia="Times New Roman" w:hAnsi="Times New Roman"/>
          <w:sz w:val="18"/>
          <w:szCs w:val="18"/>
          <w:color w:val="auto"/>
        </w:rPr>
        <w:t>” means the Business Combination Agreement dated April 22, 2025, by and among SPAC, the Company, the Company Shareholder Representative, and, by joinder executed and delivered prior to the Initial Merger, each of PubCo and Merger Sub, as amended on October 18, 2025 and as further amended on February 2, 2026.</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Proposal</w:t>
      </w:r>
      <w:r>
        <w:rPr>
          <w:rFonts w:ascii="Times New Roman" w:cs="Times New Roman" w:eastAsia="Times New Roman" w:hAnsi="Times New Roman"/>
          <w:sz w:val="18"/>
          <w:szCs w:val="18"/>
          <w:color w:val="auto"/>
        </w:rPr>
        <w:t>” means the proposal to approve the adoption of the Business Combination Agreement and the other transactions contemplated therein.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day on which the Closing occurs.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means Veraxa Biotech Holding AG, a public limited company duly organized, validly existing, and in good 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Laws of Switzerland.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Articles</w:t>
      </w:r>
      <w:r>
        <w:rPr>
          <w:rFonts w:ascii="Times New Roman" w:cs="Times New Roman" w:eastAsia="Times New Roman" w:hAnsi="Times New Roman"/>
          <w:sz w:val="18"/>
          <w:szCs w:val="18"/>
          <w:color w:val="auto"/>
        </w:rPr>
        <w:t>” means the amended and restated articles of association of PubCo to be adopted by PubCo in accordance with Swiss Law prior to the Closing of the Business Combination, as may be further amended and/or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Ordinary Shares</w:t>
      </w:r>
      <w:r>
        <w:rPr>
          <w:rFonts w:ascii="Times New Roman" w:cs="Times New Roman" w:eastAsia="Times New Roman" w:hAnsi="Times New Roman"/>
          <w:sz w:val="18"/>
          <w:szCs w:val="18"/>
          <w:color w:val="auto"/>
        </w:rPr>
        <w:t>” means the ordinary shares of Company, par value CHF 100/11325 per share.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Warrants</w:t>
      </w:r>
      <w:r>
        <w:rPr>
          <w:rFonts w:ascii="Times New Roman" w:cs="Times New Roman" w:eastAsia="Times New Roman" w:hAnsi="Times New Roman"/>
          <w:sz w:val="18"/>
          <w:szCs w:val="18"/>
          <w:color w:val="auto"/>
        </w:rPr>
        <w:t>” means the warrants to acquire Company Ordinary Shares, issued pursuant to the Assignment, Assumption and Amendment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 Agent</w:t>
      </w:r>
      <w:r>
        <w:rPr>
          <w:rFonts w:ascii="Times New Roman" w:cs="Times New Roman" w:eastAsia="Times New Roman" w:hAnsi="Times New Roman"/>
          <w:sz w:val="18"/>
          <w:szCs w:val="18"/>
          <w:color w:val="auto"/>
        </w:rPr>
        <w:t>” means the agent appointed by PubCo and SPAC to effect the SPAC Reorganization.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means the 5,000,000 Company Ordinary Shares the Veraxa Shareholders have the right to receive during each of the three fiscal years after the Closing Date, subject to conditions in the Business Combination Agreement and in accordance with applicable Swiss Laws.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w:t>
      </w:r>
      <w:r>
        <w:rPr>
          <w:rFonts w:ascii="Times New Roman" w:cs="Times New Roman" w:eastAsia="Times New Roman" w:hAnsi="Times New Roman"/>
          <w:sz w:val="18"/>
          <w:szCs w:val="18"/>
          <w:color w:val="auto"/>
        </w:rPr>
        <w:t>” means the European Union.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means accounting principles generally accepted in the United States of America.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the government of any nation, province, state, city, locality or other political subdivision of any thereof, any entity exercising executive, legislative, judicial, regulatory, taxing or administrative functions of or pertaining to government, regulation or compliance, or any arbitrator or arbitral body.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Order</w:t>
      </w:r>
      <w:r>
        <w:rPr>
          <w:rFonts w:ascii="Times New Roman" w:cs="Times New Roman" w:eastAsia="Times New Roman" w:hAnsi="Times New Roman"/>
          <w:sz w:val="18"/>
          <w:szCs w:val="18"/>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Closing</w:t>
      </w:r>
      <w:r>
        <w:rPr>
          <w:rFonts w:ascii="Times New Roman" w:cs="Times New Roman" w:eastAsia="Times New Roman" w:hAnsi="Times New Roman"/>
          <w:sz w:val="18"/>
          <w:szCs w:val="18"/>
          <w:color w:val="auto"/>
        </w:rPr>
        <w:t>” means the closing of the transactions contemplated by the Business Combination Agreement with respect to the Initial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Closing Date</w:t>
      </w:r>
      <w:r>
        <w:rPr>
          <w:rFonts w:ascii="Times New Roman" w:cs="Times New Roman" w:eastAsia="Times New Roman" w:hAnsi="Times New Roman"/>
          <w:sz w:val="18"/>
          <w:szCs w:val="18"/>
          <w:color w:val="auto"/>
        </w:rPr>
        <w:t>” means the day on which the Initial Closing occurs.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Merger</w:t>
      </w:r>
      <w:r>
        <w:rPr>
          <w:rFonts w:ascii="Times New Roman" w:cs="Times New Roman" w:eastAsia="Times New Roman" w:hAnsi="Times New Roman"/>
          <w:sz w:val="18"/>
          <w:szCs w:val="18"/>
          <w:color w:val="auto"/>
        </w:rPr>
        <w:t>” means, pursuant to the Business Combination Agreement, SPAC’s merger with and into Merger Sub, with Merger Sub as the surviving company in the merger and continuing as a wholly owned Subsidiary of PubCo.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Merger Effective Time</w:t>
      </w:r>
      <w:r>
        <w:rPr>
          <w:rFonts w:ascii="Times New Roman" w:cs="Times New Roman" w:eastAsia="Times New Roman" w:hAnsi="Times New Roman"/>
          <w:sz w:val="18"/>
          <w:szCs w:val="18"/>
          <w:color w:val="auto"/>
        </w:rPr>
        <w:t>” means the time at which the Initial Merger has been registered with the Registrar of Companies of the Cayman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Merger Proposal</w:t>
      </w:r>
      <w:r>
        <w:rPr>
          <w:rFonts w:ascii="Times New Roman" w:cs="Times New Roman" w:eastAsia="Times New Roman" w:hAnsi="Times New Roman"/>
          <w:sz w:val="18"/>
          <w:szCs w:val="18"/>
          <w:color w:val="auto"/>
        </w:rPr>
        <w:t>” means the proposal to be considered at the extraordinary general meeting to approve the Initial Merger and the Plan of Initial Merger.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Shareholders</w:t>
      </w:r>
      <w:r>
        <w:rPr>
          <w:rFonts w:ascii="Times New Roman" w:cs="Times New Roman" w:eastAsia="Times New Roman" w:hAnsi="Times New Roman"/>
          <w:sz w:val="18"/>
          <w:szCs w:val="18"/>
          <w:color w:val="auto"/>
        </w:rPr>
        <w:t>” means the holders of the Founder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an initial underwritten public offering and sale of a company’s equity securities.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statute, law, ordinance, rule, regulation or Governmental Order, in each case, of any Governmental Authority, or any provisions or interpretations of the foregoing, including general principles of common and civil Law and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means the Initial Merger and the Acquisition Merger together.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means Veraxa Cayman Merger Sub, an exempted company limited by shares incorporated under the Laws of the Cayman Islands and a direct wholly owned Subsidiary of PubCo.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 Shares</w:t>
      </w:r>
      <w:r>
        <w:rPr>
          <w:rFonts w:ascii="Times New Roman" w:cs="Times New Roman" w:eastAsia="Times New Roman" w:hAnsi="Times New Roman"/>
          <w:sz w:val="18"/>
          <w:szCs w:val="18"/>
          <w:color w:val="auto"/>
        </w:rPr>
        <w:t>” means the shares of Merger Sub issued to the Contribution Agent as part of the Initial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Nominee Shareholder</w:t>
      </w:r>
      <w:r>
        <w:rPr>
          <w:rFonts w:ascii="Times New Roman" w:cs="Times New Roman" w:eastAsia="Times New Roman" w:hAnsi="Times New Roman"/>
          <w:sz w:val="18"/>
          <w:szCs w:val="18"/>
          <w:color w:val="auto"/>
        </w:rPr>
        <w:t>” means Sponsor.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NTA Amendment Proposal</w:t>
      </w:r>
      <w:r>
        <w:rPr>
          <w:rFonts w:ascii="Times New Roman" w:cs="Times New Roman" w:eastAsia="Times New Roman" w:hAnsi="Times New Roman"/>
          <w:sz w:val="18"/>
          <w:szCs w:val="18"/>
          <w:color w:val="auto"/>
        </w:rPr>
        <w:t>” means the proposal to be considered at the extraordinary general meeting to approve the amendment to the SPAC Articles to remove the limitation that prevents the SPAC from redeeming SPAC Public Shares if such redemption would cause the SPAC to have net tangible assets of less than $5,000,001.</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trust, estate, joint venture, joint stock company, Governmental Authority or instrumentality or other entity of any kind.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of Initial Merger</w:t>
      </w:r>
      <w:r>
        <w:rPr>
          <w:rFonts w:ascii="Times New Roman" w:cs="Times New Roman" w:eastAsia="Times New Roman" w:hAnsi="Times New Roman"/>
          <w:sz w:val="18"/>
          <w:szCs w:val="18"/>
          <w:color w:val="auto"/>
        </w:rPr>
        <w:t>” means the plan of merger in respect of the Initial Merger.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Proposals</w:t>
      </w:r>
      <w:r>
        <w:rPr>
          <w:rFonts w:ascii="Times New Roman" w:cs="Times New Roman" w:eastAsia="Times New Roman" w:hAnsi="Times New Roman"/>
          <w:sz w:val="18"/>
          <w:szCs w:val="18"/>
          <w:color w:val="auto"/>
        </w:rPr>
        <w:t>” means together the Business Combination Proposal, Initial Merger Proposal, NTA Amendment Proposal, Advisory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Proposal and Adjournment Proposal.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means February 13, 2026 the record date for the extraordinary general meeting.</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means the Registration Rights Agreement by and among PubCo, SPAC and certain Company Shareholders, to be entered into prior to Closing and to be effective as of the Acquisition Closing.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Support Agreements</w:t>
      </w:r>
      <w:r>
        <w:rPr>
          <w:rFonts w:ascii="Times New Roman" w:cs="Times New Roman" w:eastAsia="Times New Roman" w:hAnsi="Times New Roman"/>
          <w:sz w:val="18"/>
          <w:szCs w:val="18"/>
          <w:color w:val="auto"/>
        </w:rPr>
        <w:t>” means the Shareholder Voting, Support and Lock-Up Agreements, executed concurrently with the Business Combination Agreement, by and among the Company and certain Company Shareholders.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w:t>
      </w:r>
      <w:r>
        <w:rPr>
          <w:rFonts w:ascii="Times New Roman" w:cs="Times New Roman" w:eastAsia="Times New Roman" w:hAnsi="Times New Roman"/>
          <w:sz w:val="18"/>
          <w:szCs w:val="18"/>
          <w:color w:val="auto"/>
        </w:rPr>
        <w:t>” means Voyager Acquisition Corp., a Cayman Islands exempted company formed for the purpose of effecting a merger, share exchange, asset acquisition, share purchase, reorganization or similar business combination with one or more businesses.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Articles</w:t>
      </w:r>
      <w:r>
        <w:rPr>
          <w:rFonts w:ascii="Times New Roman" w:cs="Times New Roman" w:eastAsia="Times New Roman" w:hAnsi="Times New Roman"/>
          <w:sz w:val="18"/>
          <w:szCs w:val="18"/>
          <w:color w:val="auto"/>
        </w:rPr>
        <w:t>” means the amended and restated memorandum of association of SPAC, as adopted by special resolution, dated as of May 31, 2024, as amended 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Class A Ordinary Shares</w:t>
      </w:r>
      <w:r>
        <w:rPr>
          <w:rFonts w:ascii="Times New Roman" w:cs="Times New Roman" w:eastAsia="Times New Roman" w:hAnsi="Times New Roman"/>
          <w:sz w:val="18"/>
          <w:szCs w:val="18"/>
          <w:color w:val="auto"/>
        </w:rPr>
        <w:t>” means the Class A ordinary shares of SPAC, par value $0.0001 per share, trading on Nasdaq under the symbol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VACH.</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Class B Ordinary Shares</w:t>
      </w:r>
      <w:r>
        <w:rPr>
          <w:rFonts w:ascii="Times New Roman" w:cs="Times New Roman" w:eastAsia="Times New Roman" w:hAnsi="Times New Roman"/>
          <w:sz w:val="18"/>
          <w:szCs w:val="18"/>
          <w:color w:val="auto"/>
        </w:rPr>
        <w:t>” means the Class B ordinary shares of SPAC, par value $0.0001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IPO</w:t>
      </w:r>
      <w:r>
        <w:rPr>
          <w:rFonts w:ascii="Times New Roman" w:cs="Times New Roman" w:eastAsia="Times New Roman" w:hAnsi="Times New Roman"/>
          <w:sz w:val="18"/>
          <w:szCs w:val="18"/>
          <w:color w:val="auto"/>
        </w:rPr>
        <w:t>” means SPAC’s initial public offering of SPAC Units, consummated on August 8,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Ordinary Shares</w:t>
      </w:r>
      <w:r>
        <w:rPr>
          <w:rFonts w:ascii="Times New Roman" w:cs="Times New Roman" w:eastAsia="Times New Roman" w:hAnsi="Times New Roman"/>
          <w:sz w:val="18"/>
          <w:szCs w:val="18"/>
          <w:color w:val="auto"/>
        </w:rPr>
        <w:t>” means the SPAC Class A Ordinary Shares and the SPAC Class B Ordinary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Private Warrants</w:t>
      </w:r>
      <w:r>
        <w:rPr>
          <w:rFonts w:ascii="Times New Roman" w:cs="Times New Roman" w:eastAsia="Times New Roman" w:hAnsi="Times New Roman"/>
          <w:sz w:val="18"/>
          <w:szCs w:val="18"/>
          <w:color w:val="auto"/>
        </w:rPr>
        <w:t>” means the warrants purchased in the SPAC private placement.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Public Shares</w:t>
      </w:r>
      <w:r>
        <w:rPr>
          <w:rFonts w:ascii="Times New Roman" w:cs="Times New Roman" w:eastAsia="Times New Roman" w:hAnsi="Times New Roman"/>
          <w:sz w:val="18"/>
          <w:szCs w:val="18"/>
          <w:color w:val="auto"/>
        </w:rPr>
        <w:t>” means the shares of SPAC Class A Ordinary Shares sold as part of the SPAC Units in the SPAC IPO.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Public Warrants</w:t>
      </w:r>
      <w:r>
        <w:rPr>
          <w:rFonts w:ascii="Times New Roman" w:cs="Times New Roman" w:eastAsia="Times New Roman" w:hAnsi="Times New Roman"/>
          <w:sz w:val="18"/>
          <w:szCs w:val="18"/>
          <w:color w:val="auto"/>
        </w:rPr>
        <w:t>” means the SPAC warrants sold as part of the SPAC Units in the SPAC IPO.</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ind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SPAC Reorganization</w:t>
      </w:r>
      <w:r>
        <w:rPr>
          <w:rFonts w:ascii="Times New Roman" w:cs="Times New Roman" w:eastAsia="Times New Roman" w:hAnsi="Times New Roman"/>
          <w:sz w:val="17"/>
          <w:szCs w:val="17"/>
          <w:color w:val="auto"/>
        </w:rPr>
        <w:t>” means (i) the transfer of Company Ordinary Shares by the Nominee Shareholder to the Contribution Agent; (ii) the Initial Merger; (iii) the contribution of Merger Sub Shares by the Contribution Agent to PubCo as a contribution to the capital contribution reserves of PubCo and</w:t>
      </w:r>
    </w:p>
    <w:p>
      <w:pPr>
        <w:spacing w:after="0" w:line="1" w:lineRule="exact"/>
        <w:rPr>
          <w:sz w:val="20"/>
          <w:szCs w:val="20"/>
          <w:color w:val="auto"/>
        </w:rPr>
      </w:pPr>
    </w:p>
    <w:p>
      <w:pPr>
        <w:ind w:left="660" w:right="3800" w:hanging="652"/>
        <w:spacing w:after="0" w:line="487" w:lineRule="auto"/>
        <w:tabs>
          <w:tab w:leader="none" w:pos="3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Company Ordinary Shares by the Contribution Agent to the SPAC Shareholders. “</w:t>
      </w:r>
      <w:r>
        <w:rPr>
          <w:rFonts w:ascii="Times New Roman" w:cs="Times New Roman" w:eastAsia="Times New Roman" w:hAnsi="Times New Roman"/>
          <w:sz w:val="18"/>
          <w:szCs w:val="18"/>
          <w:b w:val="1"/>
          <w:bCs w:val="1"/>
          <w:i w:val="1"/>
          <w:iCs w:val="1"/>
          <w:color w:val="auto"/>
        </w:rPr>
        <w:t>SPAC Shareholder</w:t>
      </w:r>
      <w:r>
        <w:rPr>
          <w:rFonts w:ascii="Times New Roman" w:cs="Times New Roman" w:eastAsia="Times New Roman" w:hAnsi="Times New Roman"/>
          <w:sz w:val="18"/>
          <w:szCs w:val="18"/>
          <w:color w:val="auto"/>
        </w:rPr>
        <w:t>” means a holder of any SPAC Ordinary Shares.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Unit</w:t>
      </w:r>
      <w:r>
        <w:rPr>
          <w:rFonts w:ascii="Times New Roman" w:cs="Times New Roman" w:eastAsia="Times New Roman" w:hAnsi="Times New Roman"/>
          <w:sz w:val="18"/>
          <w:szCs w:val="18"/>
          <w:color w:val="auto"/>
        </w:rPr>
        <w:t>” means units of SPAC, each unit comprising one share of Class A Ordinary Share and one half of one SPAC Warrant.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Warrant Agreement</w:t>
      </w:r>
      <w:r>
        <w:rPr>
          <w:rFonts w:ascii="Times New Roman" w:cs="Times New Roman" w:eastAsia="Times New Roman" w:hAnsi="Times New Roman"/>
          <w:sz w:val="18"/>
          <w:szCs w:val="18"/>
          <w:color w:val="auto"/>
        </w:rPr>
        <w:t>” means the warrant agreement, by and between SPAC and Continental Stock Transfer &amp; Trust Company, entered into August 8, 2024.</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Warrants</w:t>
      </w:r>
      <w:r>
        <w:rPr>
          <w:rFonts w:ascii="Times New Roman" w:cs="Times New Roman" w:eastAsia="Times New Roman" w:hAnsi="Times New Roman"/>
          <w:sz w:val="18"/>
          <w:szCs w:val="18"/>
          <w:color w:val="auto"/>
        </w:rPr>
        <w:t>” means, together, the SPAC Public Warrants and SPAC Private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Voyager Acquisition Sponsor Holdco LLC, a Delaware limited liability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Support Agreement</w:t>
      </w:r>
      <w:r>
        <w:rPr>
          <w:rFonts w:ascii="Times New Roman" w:cs="Times New Roman" w:eastAsia="Times New Roman" w:hAnsi="Times New Roman"/>
          <w:sz w:val="18"/>
          <w:szCs w:val="18"/>
          <w:color w:val="auto"/>
        </w:rPr>
        <w:t>” means the Sponsor Support Agreement, executed concurrently with the BCA, by and among the Company, SPAC and Sponsor, as amended on February 2, 2026.</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 entity of which a majority of both the economic interests and voting interests is owned, directly or indirectly, by such Person and, in case of a limited partnership, limited liability company or similar entity, such Person is a general partner or managing member and has the power to direct the policies, management and affairs of such entity, respectively.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Swiss Law</w:t>
      </w:r>
      <w:r>
        <w:rPr>
          <w:rFonts w:ascii="Times New Roman" w:cs="Times New Roman" w:eastAsia="Times New Roman" w:hAnsi="Times New Roman"/>
          <w:sz w:val="18"/>
          <w:szCs w:val="18"/>
          <w:color w:val="auto"/>
        </w:rPr>
        <w:t>” means all federal, state, or local Laws applicable in Switzerland, as amended from time to time.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all federal, state, local, foreign or other Taxes imposed by any Governmental Authority, including all income, gross receipts, license, payroll, employment,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alternative or add-on minimum, or estimated Taxes, and including any interest, penalty, or addition thereto, and any liability therefor as a transferee or successor, as a result of Treasury Regulations Section 1.1502-6 or similar provision of applicable Law or as a result of any Tax sharing, indemnification or similar agreement, and in each case, whether disputed or not.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Returns</w:t>
      </w:r>
      <w:r>
        <w:rPr>
          <w:rFonts w:ascii="Times New Roman" w:cs="Times New Roman" w:eastAsia="Times New Roman" w:hAnsi="Times New Roman"/>
          <w:sz w:val="18"/>
          <w:szCs w:val="18"/>
          <w:color w:val="auto"/>
        </w:rPr>
        <w:t>” means all U.S. federal, state, local, provincial and non-U.S. returns, declarations, computations, notices, statements, claims, reports, schedules, forms and information returns, including any attachment thereto or amendment thereof, required or permitted to be supplied to, or filed with, a Governmental Authority with respect to Taxes.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collectively, the Business Combination Agreement, the Indemnity Escrow Agreement (as defined in the Business Combination Agreement), the Sponsor Support Agreement, the Shareholder Support Agreements, the Registration Rights Agreement, the Assignment, Assumption and Amendment Agreement, and any other agreements, documents, certificates or filings made or entered into or delivered pursuant thereto.</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collectively, the Initial Merger, the Acquisition Merger and each of the other transaction contemplated by the Business Combination Agreement and any of the other Transaction Documents.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means the trust account described in the Trust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means the investment management trust agreement entered into August 8, 2024, by and among SPAC and Continental Stock Transfer &amp; Trust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USPTO</w:t>
      </w:r>
      <w:r>
        <w:rPr>
          <w:rFonts w:ascii="Times New Roman" w:cs="Times New Roman" w:eastAsia="Times New Roman" w:hAnsi="Times New Roman"/>
          <w:sz w:val="18"/>
          <w:szCs w:val="18"/>
          <w:color w:val="auto"/>
        </w:rPr>
        <w:t>” means the United States Patent and Trademark Office.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VERAXA Biotech GmbH</w:t>
      </w:r>
      <w:r>
        <w:rPr>
          <w:rFonts w:ascii="Times New Roman" w:cs="Times New Roman" w:eastAsia="Times New Roman" w:hAnsi="Times New Roman"/>
          <w:sz w:val="18"/>
          <w:szCs w:val="18"/>
          <w:color w:val="auto"/>
        </w:rPr>
        <w:t>” means VERAXA Biotech GmbH, a limited liability company (Gesellschaft mit beschränkter Haftung) validly existing under the Laws of Germany and a wholly owned Subsidiary of the Company.</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Veraxa Shares</w:t>
      </w:r>
      <w:r>
        <w:rPr>
          <w:rFonts w:ascii="Times New Roman" w:cs="Times New Roman" w:eastAsia="Times New Roman" w:hAnsi="Times New Roman"/>
          <w:sz w:val="18"/>
          <w:szCs w:val="18"/>
          <w:color w:val="auto"/>
        </w:rPr>
        <w:t>” means the ordinary shares of Veraxa Biotech AG prior to the Acquisition Merger and any other equity securities of any Subsidiary of Veraxa Biotech AG.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Veraxa Shareholders</w:t>
      </w:r>
      <w:r>
        <w:rPr>
          <w:rFonts w:ascii="Times New Roman" w:cs="Times New Roman" w:eastAsia="Times New Roman" w:hAnsi="Times New Roman"/>
          <w:sz w:val="18"/>
          <w:szCs w:val="18"/>
          <w:color w:val="auto"/>
        </w:rPr>
        <w:t>” means any holder of any Veraxa Shares prior to the Acquisition Merger.</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Veraxa Shareholders’ Approval</w:t>
      </w:r>
      <w:r>
        <w:rPr>
          <w:rFonts w:ascii="Times New Roman" w:cs="Times New Roman" w:eastAsia="Times New Roman" w:hAnsi="Times New Roman"/>
          <w:sz w:val="18"/>
          <w:szCs w:val="18"/>
          <w:color w:val="auto"/>
        </w:rPr>
        <w:t>” means the vote of the Veraxa Shareholders necessary to approve and adopt the Business Combination Agreement and the transactions contemplated therein.</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 Loans</w:t>
      </w:r>
      <w:r>
        <w:rPr>
          <w:rFonts w:ascii="Times New Roman" w:cs="Times New Roman" w:eastAsia="Times New Roman" w:hAnsi="Times New Roman"/>
          <w:sz w:val="18"/>
          <w:szCs w:val="18"/>
          <w:color w:val="auto"/>
        </w:rPr>
        <w:t>” means the loans, if any, that may be provided to SPAC by the Sponsor, members of SPAC’s founding team or any of their Affiliates in order to finance SPAC’s transaction costs in connection with the Business Combination.</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members of our Executive Management and of 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upon the consummation of the Business Combination are set forth in the Prospectus, in the section entitled “</w:t>
      </w:r>
      <w:r>
        <w:rPr>
          <w:rFonts w:ascii="Times New Roman" w:cs="Times New Roman" w:eastAsia="Times New Roman" w:hAnsi="Times New Roman"/>
          <w:sz w:val="18"/>
          <w:szCs w:val="18"/>
          <w:i w:val="1"/>
          <w:iCs w:val="1"/>
          <w:color w:val="auto"/>
        </w:rPr>
        <w:t>Management and Executive Compensation,</w:t>
      </w:r>
      <w:r>
        <w:rPr>
          <w:rFonts w:ascii="Times New Roman" w:cs="Times New Roman" w:eastAsia="Times New Roman" w:hAnsi="Times New Roman"/>
          <w:sz w:val="18"/>
          <w:szCs w:val="18"/>
          <w:color w:val="auto"/>
        </w:rPr>
        <w:t>” which is incorporated herein by reference. The general meeting of shareholders elected Oliver R. Baumann, Dr. Christoph Antz, Marc Grüninger, Warren Hosseinion and Christoph Ziegler to the Board, effective as of the election at the Acquisition Closing Date. The business address for each of the Company’s directors and officers is Talacker 35, 8001 Zurich, Switzerland.</w:t>
      </w:r>
    </w:p>
    <w:p>
      <w:pPr>
        <w:spacing w:after="0" w:line="17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Duane Morris LLP, 901 New York Avenue N.W., Suite 700 East, Washington, DC 20001-4795, and Walder Wyss Ltd., Seefeldstrasse 123, P.O. Box, 8034 Zurich, Switzerland, have acted as U.S. and Swiss counsel, respectively, for Veraxa and will act as counsel to the Company following the Closing.</w:t>
      </w:r>
    </w:p>
    <w:p>
      <w:pPr>
        <w:spacing w:after="0" w:line="17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229" w:lineRule="exact"/>
        <w:rPr>
          <w:rFonts w:ascii="Times New Roman" w:cs="Times New Roman" w:eastAsia="Times New Roman" w:hAnsi="Times New Roman"/>
          <w:sz w:val="18"/>
          <w:szCs w:val="18"/>
          <w:b w:val="1"/>
          <w:bCs w:val="1"/>
          <w:color w:val="auto"/>
        </w:rPr>
      </w:pPr>
    </w:p>
    <w:p>
      <w:pPr>
        <w:jc w:val="both"/>
        <w:ind w:left="660" w:right="460"/>
        <w:spacing w:after="0" w:line="53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WithumSmith+Brown, PC acted as SPAC’s independent registered public accounting firm for the years ended December 31, 2025 and 2024. Grassi &amp; Co., CPAs, P.C. acted as Veraxa’s independent registered public accounting firm for the years ended December 31, 2025 and 2024.</w:t>
      </w:r>
    </w:p>
    <w:p>
      <w:pPr>
        <w:spacing w:after="0" w:line="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Grassi &amp; Co., CPAs, P.C. acted as PubCo’s independent registered public accounting firm for the period from June 25, 2025 (inception) through December 31, 2025.</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Grassi &amp; Co., CPAs, P.C. has been appointed as the independent registered public accounting firm of the Company following the Business Combination.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capitalization of the Company on an unaudited pro forma combined basis as of December 31, 2025, after giving effect to the Business Combination and the High Trail Financing. This table should be read together with the unaudited pro forma condensed combined financial information of the Company, which is attached hereto as Exhibit 15.1.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(CHF)</w:t>
            </w:r>
          </w:p>
        </w:tc>
      </w:tr>
      <w:tr>
        <w:trPr>
          <w:trHeight w:val="238"/>
        </w:trPr>
        <w:tc>
          <w:tcPr>
            <w:tcW w:w="100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 net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r>
      <w:tr>
        <w:trPr>
          <w:trHeight w:val="22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63"/>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indebtedness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tcBorders>
              <w:bottom w:val="single" w:sz="8" w:color="CCEEFF"/>
            </w:tcBorders>
            <w:gridSpan w:val="2"/>
          </w:tcPr>
          <w:p>
            <w:pPr>
              <w:spacing w:after="0"/>
              <w:rPr>
                <w:sz w:val="22"/>
                <w:szCs w:val="22"/>
                <w:color w:val="auto"/>
              </w:rPr>
            </w:pPr>
          </w:p>
        </w:tc>
      </w:tr>
      <w:tr>
        <w:trPr>
          <w:trHeight w:val="196"/>
        </w:trPr>
        <w:tc>
          <w:tcPr>
            <w:tcW w:w="10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PubCo ordinary shares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PubCo treasury shares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be issued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(187,738)</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reserves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154,644</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(26,634)</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00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Closing, 25,217,315 SPAC Class A Ordinary Shares, par value $0.0001 per share, of SPAC were redeemed by the holders for an aggregate redemption payment of approximately $273,033,056.</w:t>
      </w:r>
    </w:p>
    <w:p>
      <w:pPr>
        <w:spacing w:after="0" w:line="158" w:lineRule="exact"/>
        <w:rPr>
          <w:sz w:val="20"/>
          <w:szCs w:val="20"/>
          <w:color w:val="auto"/>
        </w:rPr>
      </w:pPr>
    </w:p>
    <w:p>
      <w:pPr>
        <w:ind w:left="660" w:right="7340" w:hanging="652"/>
        <w:spacing w:after="0" w:line="500"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associated with the Company are described in the Prospectus in the section entitled “</w:t>
      </w:r>
      <w:hyperlink r:id="rId21">
        <w:r>
          <w:rPr>
            <w:rFonts w:ascii="Times New Roman" w:cs="Times New Roman" w:eastAsia="Times New Roman" w:hAnsi="Times New Roman"/>
            <w:sz w:val="18"/>
            <w:szCs w:val="18"/>
            <w:u w:val="single" w:color="auto"/>
            <w:color w:val="0000EE"/>
          </w:rPr>
          <w:t>Risk Factors</w:t>
        </w:r>
      </w:hyperlink>
      <w:r>
        <w:rPr>
          <w:rFonts w:ascii="Times New Roman" w:cs="Times New Roman" w:eastAsia="Times New Roman" w:hAnsi="Times New Roman"/>
          <w:sz w:val="18"/>
          <w:szCs w:val="18"/>
          <w:color w:val="auto"/>
        </w:rPr>
        <w:t>” and are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the legal entity named Veraxa Biotech Holding AG, was incorporated under the laws of Switzerland on June 25, 2025 as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solely for the purpose of effectuating the Business Combination, which was consummated on June 10, 2026. See “</w:t>
      </w:r>
      <w:r>
        <w:rPr>
          <w:rFonts w:ascii="Times New Roman" w:cs="Times New Roman" w:eastAsia="Times New Roman" w:hAnsi="Times New Roman"/>
          <w:sz w:val="18"/>
          <w:szCs w:val="18"/>
          <w:i w:val="1"/>
          <w:iCs w:val="1"/>
          <w:color w:val="auto"/>
        </w:rPr>
        <w:t>Explanatory Note</w:t>
      </w:r>
      <w:r>
        <w:rPr>
          <w:rFonts w:ascii="Times New Roman" w:cs="Times New Roman" w:eastAsia="Times New Roman" w:hAnsi="Times New Roman"/>
          <w:sz w:val="18"/>
          <w:szCs w:val="18"/>
          <w:color w:val="auto"/>
        </w:rPr>
        <w:t>” for further details about the Business Combination. See also a description of the material terms of the Business Combination as described in the Prospectus in the section entitled, “</w:t>
      </w:r>
      <w:hyperlink r:id="rId32">
        <w:r>
          <w:rPr>
            <w:rFonts w:ascii="Times New Roman" w:cs="Times New Roman" w:eastAsia="Times New Roman" w:hAnsi="Times New Roman"/>
            <w:sz w:val="18"/>
            <w:szCs w:val="18"/>
            <w:i w:val="1"/>
            <w:iCs w:val="1"/>
            <w:u w:val="single" w:color="auto"/>
            <w:color w:val="0000EE"/>
          </w:rPr>
          <w:t>Proposal No. 1—The Business Combination Proposal—The Business Combination Agreement.</w:t>
        </w:r>
      </w:hyperlink>
      <w:r>
        <w:rPr>
          <w:rFonts w:ascii="Times New Roman" w:cs="Times New Roman" w:eastAsia="Times New Roman" w:hAnsi="Times New Roman"/>
          <w:sz w:val="18"/>
          <w:szCs w:val="18"/>
          <w:color w:val="auto"/>
        </w:rPr>
        <w:t>” Prior to the Business Combination, PubCo owned no material assets other than its interest in Merger Sub, which was formed in connection with the Business Combination, and does not operate any business.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Veraxa Biotech AG is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 The Company was incorporated on December 2, 2020. As a holding company, it owns 100% of the shares in VERAXA Biotech GmbH, a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validly existing under the laws of Germany.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VERAXA Biotech GmbH was formed on May 21, 2021 pursuant to a contribution and merger agreement with Araxa Bioscience GmbH and Velabs Therapeutics GmbH, with VERAXA Biotech GmbH as the surviving company in the transaction. Pursuant to this transaction, the Company acquired the technology of Araxa (technology for the modulation and development of antibodies) and the technology of Velabs (droplet-based microfluidic screening technology). As part of the contribution, 100% of the shares in both Velabs and Araxa were contributed in exchange for CHF 11.5 million shares of the Company.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29, 2023, the Company acquired all shares in Synimmune GmbH, a spin-off of the Department of Immunology at the University of Tübingen. Synimmune was active in the field of innovative and effective anti-tumor antibodies for the treatment of patients with life-threatening diseases specializing in so-called rare hematopoietic malignancies. As part of this acquisition, the Company acquired its pipeline antibody VX-A901 (formerly called FLYSIN), which has successfully completed a Phase I clinical trial for the treatment of acute myeloid leukemia.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2024, the Company completed an exclusive in-licensing of the “Hemibody” platform from Würzburg-based biotech company Cherry Biolabs GmbH. The Hemibody platform is the immature precursor of the Company’s proprietary BiTAC-TCE platform, and after such in-licensing, the Company consequently transformed into an oncology-focused biotechnology and clinical drug development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inception, the Company has raised the capital needed to support the advancement of its technologies and programs. All research and development activities of the Company are carried out by its wholly owned Subsidiary, VERAXA Biotech GmbH, based in Heidelberg, Germany.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5 for a discussion of Veraxa’s principal capital expenditures and divestitures for the years ended December 31, 2025 and 2024. There are no other material capital expenditures or divestitures currently in progress as of the date of this Report.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principal place of business and mailing address of the Company is Talacker 35, 8001 Zurich, Switzerland and its telephone number is (205) 778-6396. The Company’s principal website address is </w:t>
      </w:r>
      <w:r>
        <w:rPr>
          <w:rFonts w:ascii="Times New Roman" w:cs="Times New Roman" w:eastAsia="Times New Roman" w:hAnsi="Times New Roman"/>
          <w:sz w:val="18"/>
          <w:szCs w:val="18"/>
          <w:i w:val="1"/>
          <w:iCs w:val="1"/>
          <w:color w:val="auto"/>
        </w:rPr>
        <w:t>www.veraxa.com</w:t>
      </w:r>
      <w:r>
        <w:rPr>
          <w:rFonts w:ascii="Times New Roman" w:cs="Times New Roman" w:eastAsia="Times New Roman" w:hAnsi="Times New Roman"/>
          <w:sz w:val="18"/>
          <w:szCs w:val="18"/>
          <w:color w:val="auto"/>
        </w:rPr>
        <w:t>. The information contained on, or accessible through, the Company’s websites is not incorporated by reference into this Report, and you should not consider it a part of this Report.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Company Ordinary Shares. In addition, the Company is not required to file reports and financial statements with the SEC as frequently or as promptly as U.S. public companies whose securities are registered under the Exchange Act. The Company is also an “emerging growth company,” as defined in Section 2(a) of the Securities Act, as modified by the Jumpstart Our Business Startups Act of 2012,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However, the Company is required to file with the SEC an Annual Report on Form 20-F containing financial statements audited by an independent registered public accounting firm. The SEC also maintains a website at http://www.sec.gov that contains reports and other information that the Company files with or furnishes electronically to the SEC.</w:t>
      </w:r>
    </w:p>
    <w:p>
      <w:pPr>
        <w:spacing w:after="0" w:line="18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the Company did not conduct any material activities other than those incidental to its formation and the matters contemplated by the Business Combination Agreement, such as the making of certain required securities law filings. Upon the Closing, Veraxa Biotech AG merged with and into PubCo, with PubCo as the surviving company.</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Information regarding the business of Veraxa is included in the Prospectus in the sections entitled “</w:t>
      </w:r>
      <w:r>
        <w:rPr>
          <w:rFonts w:ascii="Times New Roman" w:cs="Times New Roman" w:eastAsia="Times New Roman" w:hAnsi="Times New Roman"/>
          <w:sz w:val="18"/>
          <w:szCs w:val="18"/>
          <w:i w:val="1"/>
          <w:iCs w:val="1"/>
          <w:color w:val="auto"/>
        </w:rPr>
        <w:t>Information About the Company</w:t>
      </w:r>
      <w:r>
        <w:rPr>
          <w:rFonts w:ascii="Times New Roman" w:cs="Times New Roman" w:eastAsia="Times New Roman" w:hAnsi="Times New Roman"/>
          <w:sz w:val="18"/>
          <w:szCs w:val="18"/>
          <w:color w:val="auto"/>
        </w:rPr>
        <w:t>,” which is incorporated herein by reference, except that (i) the intellectual property disclosures set forth in the section entitled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in the Prospectus are superseded in their entirety by the updated intellectual property disclosures provided directly below and (ii) the Company Management’s Discussion and Analysis of Financial Condition and Results of Operation is presented directly in Item 5 of this Report and is not incorporated by reference.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Intellectual Property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Company’s patents, trademarks, and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provide an overview of our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863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286321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MICROFLUIDIC DROPLET DETECTION AND SORTING</w:t>
      </w:r>
    </w:p>
    <w:p>
      <w:pPr>
        <w:spacing w:after="0" w:line="104" w:lineRule="exact"/>
        <w:rPr>
          <w:sz w:val="20"/>
          <w:szCs w:val="20"/>
          <w:color w:val="auto"/>
        </w:rPr>
      </w:pPr>
    </w:p>
    <w:p>
      <w:pPr>
        <w:jc w:val="both"/>
        <w:ind w:left="8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Hitmaster and microfluidics-based antibody screening technology. </w:t>
      </w:r>
      <w:r>
        <w:rPr>
          <w:rFonts w:ascii="Times New Roman" w:cs="Times New Roman" w:eastAsia="Times New Roman" w:hAnsi="Times New Roman"/>
          <w:sz w:val="18"/>
          <w:szCs w:val="18"/>
          <w:color w:val="auto"/>
        </w:rPr>
        <w:t>This patent describes a microfluidic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for detecting and sorting droplets that contain particles labeled with detectable markers. The system identifies droplets based on the presence and intensity of these markers and directs them into different channels for sorting. The method also enables quantitative binding assays, supporting high-throughput applications such as single-cell analysis, drug screening, and diagnostics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Borders>
              <w:top w:val="single" w:sz="8" w:color="auto"/>
            </w:tcBorders>
          </w:tcPr>
          <w:p>
            <w:pPr>
              <w:spacing w:after="0"/>
              <w:rPr>
                <w:sz w:val="21"/>
                <w:szCs w:val="21"/>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BHIP-C22-01-WOCA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CA2984045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4/29/16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4/29/36</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BHIP-C22-01-WOCN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CN107810413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4/29/36</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32"/>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BHIP-C22-01-WOEP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EP3289362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 (Opposition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4/29/36</w:t>
            </w:r>
          </w:p>
        </w:tc>
        <w:tc>
          <w:tcPr>
            <w:tcW w:w="20" w:type="dxa"/>
            <w:vAlign w:val="bottom"/>
          </w:tcPr>
          <w:p>
            <w:pPr>
              <w:spacing w:after="0"/>
              <w:rPr>
                <w:sz w:val="20"/>
                <w:szCs w:val="20"/>
                <w:color w:val="auto"/>
              </w:rPr>
            </w:pPr>
          </w:p>
        </w:tc>
      </w:tr>
      <w:tr>
        <w:trPr>
          <w:trHeight w:val="234"/>
        </w:trPr>
        <w:tc>
          <w:tcPr>
            <w:tcW w:w="28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rejected; in Appeal)*</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BHIP-C22-01-WOEPHK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HK1251660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4/29/36</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BHIP-C22-01-WOIL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IL255260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4/29/36</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BHIP-C22-01-WOIN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IN364123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4/29/36</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BHIP-C22-01-WOJP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JP6851982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4/29/36</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BHIP-C22-01-WOUS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US10710078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4/29/36</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AT, BE, CH, CZ, DE, DK, ES, FR, GB, IE, IT, LU, NL, PT and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6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MICROFLUIDIC ANALYSIS OF LIGAND INDUCED CELL EXPRESSION</w:t>
      </w:r>
    </w:p>
    <w:p>
      <w:pPr>
        <w:spacing w:after="0" w:line="104" w:lineRule="exact"/>
        <w:rPr>
          <w:sz w:val="20"/>
          <w:szCs w:val="20"/>
          <w:color w:val="auto"/>
        </w:rPr>
      </w:pPr>
    </w:p>
    <w:p>
      <w:pPr>
        <w:jc w:val="both"/>
        <w:ind w:left="8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Hitmaster and microfluidics-based antibody screening technology. </w:t>
      </w:r>
      <w:r>
        <w:rPr>
          <w:rFonts w:ascii="Times New Roman" w:cs="Times New Roman" w:eastAsia="Times New Roman" w:hAnsi="Times New Roman"/>
          <w:sz w:val="18"/>
          <w:szCs w:val="18"/>
          <w:color w:val="auto"/>
        </w:rPr>
        <w:t>This patent describes a microfluidic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that analyzes cellular responses to ligands at the single-cell level. By encapsulating individual cells in microdroplets and exposing them to specific ligands, the system can detect and quantify changes in gene expression. This method enables high-throughput, quantitative binding assays, facilitating applications in drug discovery and cellular biology research.</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21"/>
                <w:szCs w:val="21"/>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BHIP-C22-02-WOCA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CA3011349</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1/13/17</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1/13/37</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BHIP-C22-02-WOCN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CN108778508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1/13/37</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BHIP-C22-02-WOEP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EP3402596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1/13/37</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BHIP-C22-02-WOEPHK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HK40000713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1/13/37</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BHIP-C22-02-WOJP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JP7179329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1/13/37</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BHIP-C22-02-WOUS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US12083512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1/13/37</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211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MICROFLUIDIC SORTING DEVICES AND METHODS</w:t>
      </w:r>
    </w:p>
    <w:p>
      <w:pPr>
        <w:spacing w:after="0" w:line="104" w:lineRule="exact"/>
        <w:rPr>
          <w:sz w:val="20"/>
          <w:szCs w:val="20"/>
          <w:color w:val="auto"/>
        </w:rPr>
      </w:pPr>
    </w:p>
    <w:p>
      <w:pPr>
        <w:jc w:val="both"/>
        <w:ind w:left="8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Hitmaster and microfluidics-based antibody screening technology. </w:t>
      </w:r>
      <w:r>
        <w:rPr>
          <w:rFonts w:ascii="Times New Roman" w:cs="Times New Roman" w:eastAsia="Times New Roman" w:hAnsi="Times New Roman"/>
          <w:sz w:val="18"/>
          <w:szCs w:val="18"/>
          <w:color w:val="auto"/>
        </w:rPr>
        <w:t>This patent presents a microfluidic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for high-precision sorting of particles or cells within fluid streams. The system utilizes electrode pairs to generate electric fields that direct particles into specific branches of microfluidic channels based on their properties. This technology enables quantitative binding assays and supports applications in diagnostics, drug discovery, and cellular analysis.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21"/>
                <w:szCs w:val="21"/>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BHIP-C22-03-WOEP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EP3515598</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9/20/17</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9/20/17</w:t>
            </w:r>
          </w:p>
        </w:tc>
        <w:tc>
          <w:tcPr>
            <w:tcW w:w="20" w:type="dxa"/>
            <w:vAlign w:val="bottom"/>
            <w:tcBorders>
              <w:top w:val="single" w:sz="8" w:color="auto"/>
            </w:tcBorders>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BHIP-C22-03-WOEPHK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HK40011276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9/20/17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9/20/17</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BHIP-C22-03-WOUS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US11524294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9/20/17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6/26/38</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BHIP-C22-03-WOUS2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US12179202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9/20/17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11/03/37</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331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228" w:lineRule="exact"/>
        <w:rPr>
          <w:sz w:val="20"/>
          <w:szCs w:val="20"/>
          <w:color w:val="auto"/>
        </w:rPr>
      </w:pPr>
    </w:p>
    <w:p>
      <w:pPr>
        <w:jc w:val="both"/>
        <w:ind w:left="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UNNATURAL AMINO ACIDS COMPRISING A CYCLOOCTYNYL OR TRANS-CYCLOOCTENYL ANALOG GROUP AND 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w:t>
      </w:r>
    </w:p>
    <w:p>
      <w:pPr>
        <w:spacing w:after="0" w:line="33" w:lineRule="exact"/>
        <w:rPr>
          <w:sz w:val="20"/>
          <w:szCs w:val="20"/>
          <w:color w:val="auto"/>
        </w:rPr>
      </w:pPr>
    </w:p>
    <w:p>
      <w:pPr>
        <w:jc w:val="both"/>
        <w:ind w:left="8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tetrazin-based click chemistry for ADC payload conjugation. </w:t>
      </w:r>
      <w:r>
        <w:rPr>
          <w:rFonts w:ascii="Times New Roman" w:cs="Times New Roman" w:eastAsia="Times New Roman" w:hAnsi="Times New Roman"/>
          <w:sz w:val="18"/>
          <w:szCs w:val="18"/>
          <w:color w:val="auto"/>
        </w:rPr>
        <w:t>This patent describes the use of unnatural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amino acids containing a cyclooctynyl or trans-cyclooctenyl head group, which can be incorporated into a protein. These unnatural amino acids can be linked covalently to azide, nitrile oxide, nitrone, diazocarbonyl or tetrazine moieties.</w:t>
      </w:r>
    </w:p>
    <w:tbl>
      <w:tblPr>
        <w:tblLayout w:type="fixed"/>
        <w:tblInd w:w="0" w:type="dxa"/>
        <w:tblCellMar>
          <w:top w:w="0" w:type="dxa"/>
          <w:left w:w="0" w:type="dxa"/>
          <w:bottom w:w="0" w:type="dxa"/>
          <w:right w:w="0" w:type="dxa"/>
        </w:tblCellMar>
      </w:tblPr>
      <w:tr>
        <w:trPr>
          <w:trHeight w:val="245"/>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Borders>
              <w:top w:val="single" w:sz="8" w:color="auto"/>
            </w:tcBorders>
          </w:tcPr>
          <w:p>
            <w:pPr>
              <w:spacing w:after="0"/>
              <w:rPr>
                <w:sz w:val="21"/>
                <w:szCs w:val="21"/>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BHIP-C22-04-WOCA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CA2826041</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3/12/12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2/03/32</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BHIP-C22-04-WOUS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US9085514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3/28/32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BHIP-C22-04-WOJP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JP 5951644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2/03/32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BHIP-C22-04-WOJP2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JP 6263227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2/03/32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BHIP-C22-04-WOEP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EP 2670767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2/03/32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BHIP-C22-04-WOEP2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 3279211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2/03/32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right="6100" w:firstLine="8"/>
        <w:spacing w:after="0" w:line="282"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AT, BE, CH, DE, DK, ES, FR, GB, IE, IT, NL and SE ** Validated in CH, DE, FR, and GB</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348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MULTIPLE CYCLOADDITION REACTIONS FOR LABELING OF MOLECULES</w:t>
      </w:r>
    </w:p>
    <w:p>
      <w:pPr>
        <w:spacing w:after="0" w:line="104" w:lineRule="exact"/>
        <w:rPr>
          <w:sz w:val="20"/>
          <w:szCs w:val="20"/>
          <w:color w:val="auto"/>
        </w:rPr>
      </w:pPr>
    </w:p>
    <w:p>
      <w:pPr>
        <w:jc w:val="both"/>
        <w:ind w:left="80"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tetrazin-based Click chemistry for ADC payload conjugation with genetic code expansion technology.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describes the sequential conjugation of two non-canonical amino acids using bioorthogonal click chemistry enabling double labeling of the same protein. The first reaction occurs between a dienophile containing a trans-cyclooctenyl group and an alkyl-substituted tetrazine. The second click reaction comprises the covalent bond between a dienophile bearing a cyclooctynyl moiety and a tetrazine. The alkyl-substituted tetrazine prefers the reaction with the trans-cyclooctenyl containing non canonical amino acid, therefore enabling a site-specific and site-directed conjugation of the molecule.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21"/>
                <w:szCs w:val="21"/>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BHIP-C22-05-WOEP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EP3094977</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1/14/35</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BHIP-C22-05-WOJP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JP6479022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1/14/35</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BHIP-C22-05-WOUS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US10519101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4/01/35</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BHIP-C22-05-WOCA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CA2936615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1/14/35</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CH, DE, DK, ES, FR, GB, IE, IT and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494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2494280"/>
                    </a:xfrm>
                    <a:prstGeom prst="rect">
                      <a:avLst/>
                    </a:prstGeom>
                    <a:noFill/>
                  </pic:spPr>
                </pic:pic>
              </a:graphicData>
            </a:graphic>
          </wp:anchor>
        </w:drawing>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ARCHAEAL PYRROLYSYL TRNA SYNTHETASES FOR ORTHOGONAL USE</w:t>
      </w:r>
    </w:p>
    <w:p>
      <w:pPr>
        <w:spacing w:after="0" w:line="77" w:lineRule="exact"/>
        <w:rPr>
          <w:sz w:val="20"/>
          <w:szCs w:val="20"/>
          <w:color w:val="auto"/>
        </w:rPr>
      </w:pPr>
    </w:p>
    <w:p>
      <w:pPr>
        <w:jc w:val="both"/>
        <w:ind w:left="6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ADC payload conjugation with genetic code expansion technology. </w:t>
      </w:r>
      <w:r>
        <w:rPr>
          <w:rFonts w:ascii="Times New Roman" w:cs="Times New Roman" w:eastAsia="Times New Roman" w:hAnsi="Times New Roman"/>
          <w:sz w:val="18"/>
          <w:szCs w:val="18"/>
          <w:color w:val="auto"/>
        </w:rPr>
        <w:t>This invention describes the addition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export signal to the Pyrrolysyl tRNA synthetase and the benefit for genetic code expansion. It includes the sequences of this synthetase as well as he corresponding tRNA, which can be used to incorporate non-canonical amino acids in a protein utilizing a eukaryotic expression host.</w:t>
      </w:r>
    </w:p>
    <w:tbl>
      <w:tblPr>
        <w:tblLayout w:type="fixed"/>
        <w:tblInd w:w="0" w:type="dxa"/>
        <w:tblCellMar>
          <w:top w:w="0" w:type="dxa"/>
          <w:left w:w="0" w:type="dxa"/>
          <w:bottom w:w="0" w:type="dxa"/>
          <w:right w:w="0" w:type="dxa"/>
        </w:tblCellMar>
      </w:tblPr>
      <w:tr>
        <w:trPr>
          <w:trHeight w:val="218"/>
        </w:trPr>
        <w:tc>
          <w:tcPr>
            <w:tcW w:w="2880" w:type="dxa"/>
            <w:vAlign w:val="bottom"/>
            <w:tcBorders>
              <w:top w:val="single" w:sz="8" w:color="auto"/>
              <w:right w:val="single" w:sz="8" w:color="auto"/>
            </w:tcBorders>
            <w:shd w:val="clear" w:color="auto" w:fill="F2F2F2"/>
          </w:tcPr>
          <w:p>
            <w:pPr>
              <w:spacing w:after="0"/>
              <w:rPr>
                <w:sz w:val="18"/>
                <w:szCs w:val="18"/>
                <w:color w:val="auto"/>
              </w:rPr>
            </w:pPr>
          </w:p>
        </w:tc>
        <w:tc>
          <w:tcPr>
            <w:tcW w:w="1680" w:type="dxa"/>
            <w:vAlign w:val="bottom"/>
            <w:tcBorders>
              <w:top w:val="single" w:sz="8" w:color="auto"/>
              <w:right w:val="single" w:sz="8" w:color="auto"/>
            </w:tcBorders>
            <w:shd w:val="clear" w:color="auto" w:fill="F2F2F2"/>
          </w:tcPr>
          <w:p>
            <w:pPr>
              <w:spacing w:after="0"/>
              <w:rPr>
                <w:sz w:val="18"/>
                <w:szCs w:val="18"/>
                <w:color w:val="auto"/>
              </w:rPr>
            </w:pPr>
          </w:p>
        </w:tc>
        <w:tc>
          <w:tcPr>
            <w:tcW w:w="1660" w:type="dxa"/>
            <w:vAlign w:val="bottom"/>
            <w:tcBorders>
              <w:top w:val="single" w:sz="8" w:color="auto"/>
              <w:right w:val="single" w:sz="8" w:color="auto"/>
            </w:tcBorders>
            <w:shd w:val="clear" w:color="auto" w:fill="F2F2F2"/>
          </w:tcPr>
          <w:p>
            <w:pPr>
              <w:spacing w:after="0"/>
              <w:rPr>
                <w:sz w:val="18"/>
                <w:szCs w:val="18"/>
                <w:color w:val="auto"/>
              </w:rPr>
            </w:pPr>
          </w:p>
        </w:tc>
        <w:tc>
          <w:tcPr>
            <w:tcW w:w="1680" w:type="dxa"/>
            <w:vAlign w:val="bottom"/>
            <w:tcBorders>
              <w:top w:val="single" w:sz="8" w:color="auto"/>
              <w:right w:val="single" w:sz="8" w:color="auto"/>
            </w:tcBorders>
            <w:shd w:val="clear" w:color="auto" w:fill="F2F2F2"/>
          </w:tcPr>
          <w:p>
            <w:pPr>
              <w:spacing w:after="0"/>
              <w:rPr>
                <w:sz w:val="18"/>
                <w:szCs w:val="18"/>
                <w:color w:val="auto"/>
              </w:rPr>
            </w:pPr>
          </w:p>
        </w:tc>
        <w:tc>
          <w:tcPr>
            <w:tcW w:w="1680" w:type="dxa"/>
            <w:vAlign w:val="bottom"/>
            <w:tcBorders>
              <w:top w:val="single" w:sz="8" w:color="auto"/>
              <w:right w:val="single" w:sz="8" w:color="auto"/>
            </w:tcBorders>
            <w:shd w:val="clear" w:color="auto" w:fill="F2F2F2"/>
          </w:tcPr>
          <w:p>
            <w:pPr>
              <w:spacing w:after="0"/>
              <w:rPr>
                <w:sz w:val="18"/>
                <w:szCs w:val="18"/>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18"/>
                <w:szCs w:val="18"/>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65"/>
        </w:trPr>
        <w:tc>
          <w:tcPr>
            <w:tcW w:w="288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3"/>
                <w:szCs w:val="23"/>
                <w:color w:val="auto"/>
              </w:rPr>
            </w:pPr>
          </w:p>
        </w:tc>
      </w:tr>
      <w:tr>
        <w:trPr>
          <w:trHeight w:val="237"/>
        </w:trPr>
        <w:tc>
          <w:tcPr>
            <w:tcW w:w="28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EP3526338</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Borders>
              <w:top w:val="single" w:sz="8" w:color="auto"/>
            </w:tcBorders>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BHIP-C22-06WOAU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AU2017342062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 7277361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CN110062808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CA3039334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US11492608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3/23/39</w:t>
            </w: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BHIP-C22-06WOUS2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US17/954,097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54"/>
        </w:trPr>
        <w:tc>
          <w:tcPr>
            <w:tcW w:w="2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18" w:name="page19"/>
    <w:bookmarkEnd w:id="18"/>
    <w:p>
      <w:pPr>
        <w:jc w:val="both"/>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531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3531870"/>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MEANS AND METHODS FOR PREPARING ENGINEERED TARGET PROTEINS BY GENETIC CODE EXPANSION IN A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PROTEIN-SELECTIVE MANNER</w:t>
      </w:r>
    </w:p>
    <w:p>
      <w:pPr>
        <w:spacing w:after="0" w:line="33" w:lineRule="exact"/>
        <w:rPr>
          <w:sz w:val="20"/>
          <w:szCs w:val="20"/>
          <w:color w:val="auto"/>
        </w:rPr>
      </w:pPr>
    </w:p>
    <w:p>
      <w:pPr>
        <w:jc w:val="both"/>
        <w:ind w:left="8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genetic code expansion technology. </w:t>
      </w:r>
      <w:r>
        <w:rPr>
          <w:rFonts w:ascii="Times New Roman" w:cs="Times New Roman" w:eastAsia="Times New Roman" w:hAnsi="Times New Roman"/>
          <w:sz w:val="18"/>
          <w:szCs w:val="18"/>
          <w:color w:val="auto"/>
        </w:rPr>
        <w:t>This patent describes the incorporation of a non-canonical amino acid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protein in a selective manner. The mRNA of the protein contains a special sequence which guides the mRNA in the cell to a specific locus where synthetase, tRNA and an assembler fusion protein come to near proximity. This system allows for efficient incorporation of non-canonical amino acids into the protein spatial separated from the normal protein translation machinery.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21"/>
                <w:szCs w:val="21"/>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BHIP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BHIP-C22-07WOHK</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HK40066164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EP3924365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BHIP-C22-07WOEP-2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EP25207252.5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IL285405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BHIP-C22-07WOIN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IN202117035048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JP2022521049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BHIP-C22-07WOJP-2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JP2025025264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CN113727993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CA3129336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BHIP-C22-07WOUS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US17/426,338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2/14/40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AT, BE, CH, DE, FR, GB, IE, NL and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58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258889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ARCHAEAL PYRROLYSYL TRNA SYNTHETASES FOR ORTHOGONAL USE</w:t>
      </w:r>
    </w:p>
    <w:p>
      <w:pPr>
        <w:spacing w:after="0" w:line="104" w:lineRule="exact"/>
        <w:rPr>
          <w:sz w:val="20"/>
          <w:szCs w:val="20"/>
          <w:color w:val="auto"/>
        </w:rPr>
      </w:pPr>
    </w:p>
    <w:p>
      <w:pPr>
        <w:jc w:val="both"/>
        <w:ind w:left="8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genetic code expansion technology. </w:t>
      </w:r>
      <w:r>
        <w:rPr>
          <w:rFonts w:ascii="Times New Roman" w:cs="Times New Roman" w:eastAsia="Times New Roman" w:hAnsi="Times New Roman"/>
          <w:sz w:val="18"/>
          <w:szCs w:val="18"/>
          <w:color w:val="auto"/>
        </w:rPr>
        <w:t>This invention shows the efficacy enhancement for the genetic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expansion technology by using a synthetase and tRNA in combination with a ribozyme. The patent describes in addition the inducible expression of synthetase as well as the tRNA-ribozyme construct based on a T7 promoter in eukaryotic cells.</w:t>
      </w:r>
    </w:p>
    <w:tbl>
      <w:tblPr>
        <w:tblLayout w:type="fixed"/>
        <w:tblInd w:w="0" w:type="dxa"/>
        <w:tblCellMar>
          <w:top w:w="0" w:type="dxa"/>
          <w:left w:w="0" w:type="dxa"/>
          <w:bottom w:w="0" w:type="dxa"/>
          <w:right w:w="0" w:type="dxa"/>
        </w:tblCellMar>
      </w:tblPr>
      <w:tr>
        <w:trPr>
          <w:trHeight w:val="245"/>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BHIP-C22-08WOAU</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AU2021222340</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2/18/21</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2/18/41</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BHIP-C22-08WOCA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CA3167467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2/18/41</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BHIP-C22-08WOCN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CN115485380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2/18/41</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BHIP-C22-08WOEP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EP4107263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2/18/41</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BHIP-C22-08WOHK2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HK40087320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2/18/41</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BHIP-C22-08WOKR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South Korea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KR20220149807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2/18/41</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BHIP-C22-08WOJP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JP7742353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2/18/41</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BHIP-C22-08WOUS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US17/800,806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2/18/41</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14</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528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2528570"/>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HYDROPHILIC TETRAZINE-FUNCTIONALIZED PAYLOADS FOR PREPARATION OF TARGETING CONJUGATES</w:t>
      </w:r>
    </w:p>
    <w:p>
      <w:pPr>
        <w:spacing w:after="0" w:line="104" w:lineRule="exact"/>
        <w:rPr>
          <w:sz w:val="20"/>
          <w:szCs w:val="20"/>
          <w:color w:val="auto"/>
        </w:rPr>
      </w:pPr>
    </w:p>
    <w:p>
      <w:pPr>
        <w:jc w:val="both"/>
        <w:ind w:left="8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tetrazin-based Click chemistry. </w:t>
      </w:r>
      <w:r>
        <w:rPr>
          <w:rFonts w:ascii="Times New Roman" w:cs="Times New Roman" w:eastAsia="Times New Roman" w:hAnsi="Times New Roman"/>
          <w:sz w:val="18"/>
          <w:szCs w:val="18"/>
          <w:color w:val="auto"/>
        </w:rPr>
        <w:t>This patent describes a hydrophilic payload platform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phosphonate bearing tetrazines for click chemistry bioconjugation. A broad variety of toxins and linkers is covered under this substance matter patent. The platform facilitates bioconjugation processes, leads to reduced aggregation, a favorable pharmacokinetic profile of the ADC and quantitative conjugation.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BHIP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BHIP-C22-09WOEP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EP4444356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12/8/22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12/8/42</w:t>
            </w:r>
          </w:p>
        </w:tc>
        <w:tc>
          <w:tcPr>
            <w:tcW w:w="20" w:type="dxa"/>
            <w:vAlign w:val="bottom"/>
            <w:tcBorders>
              <w:top w:val="single" w:sz="8" w:color="auto"/>
            </w:tcBorders>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BHIP-C22-09WOUS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 18/716,887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BHIP-C22-09WOCN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CN118574641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12/8/42</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BHIP-C22-09WOKR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South Korea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JP2024546769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BHIP-C22-09WOJP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JP 2024-534520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BHIP-C22-09WOCA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CA3239713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BHIP-C22-09WOAU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AU20220404647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194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NOVEL AMINOACYL-TRNA SYNTHETASE VARIANTS FOR GENETIC CODE EXPANSION IN EUKARYOTES</w:t>
      </w:r>
    </w:p>
    <w:p>
      <w:pPr>
        <w:spacing w:after="0" w:line="104" w:lineRule="exact"/>
        <w:rPr>
          <w:sz w:val="20"/>
          <w:szCs w:val="20"/>
          <w:color w:val="auto"/>
        </w:rPr>
      </w:pPr>
    </w:p>
    <w:p>
      <w:pPr>
        <w:jc w:val="both"/>
        <w:ind w:left="8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genetic code expansion technology. </w:t>
      </w:r>
      <w:r>
        <w:rPr>
          <w:rFonts w:ascii="Times New Roman" w:cs="Times New Roman" w:eastAsia="Times New Roman" w:hAnsi="Times New Roman"/>
          <w:sz w:val="18"/>
          <w:szCs w:val="18"/>
          <w:color w:val="auto"/>
        </w:rPr>
        <w:t>This patent describes a novel synthetase variant, which enables enhanced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incorporation of bulky non-canonical amino acids, like </w:t>
      </w:r>
      <w:r>
        <w:rPr>
          <w:rFonts w:ascii="Times New Roman" w:cs="Times New Roman" w:eastAsia="Times New Roman" w:hAnsi="Times New Roman"/>
          <w:sz w:val="18"/>
          <w:szCs w:val="18"/>
          <w:i w:val="1"/>
          <w:iCs w:val="1"/>
          <w:color w:val="auto"/>
        </w:rPr>
        <w:t>trans</w:t>
      </w:r>
      <w:r>
        <w:rPr>
          <w:rFonts w:ascii="Times New Roman" w:cs="Times New Roman" w:eastAsia="Times New Roman" w:hAnsi="Times New Roman"/>
          <w:sz w:val="18"/>
          <w:szCs w:val="18"/>
          <w:color w:val="auto"/>
        </w:rPr>
        <w:t>-cyclooctene derivatives and the covalent bonding of theses ncAAs with conjugation partners.</w:t>
      </w:r>
    </w:p>
    <w:tbl>
      <w:tblPr>
        <w:tblLayout w:type="fixed"/>
        <w:tblInd w:w="0" w:type="dxa"/>
        <w:tblCellMar>
          <w:top w:w="0" w:type="dxa"/>
          <w:left w:w="0" w:type="dxa"/>
          <w:bottom w:w="0" w:type="dxa"/>
          <w:right w:w="0" w:type="dxa"/>
        </w:tblCellMar>
      </w:tblPr>
      <w:tr>
        <w:trPr>
          <w:trHeight w:val="245"/>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BHIP-C22-10WOCA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CA3230774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BHIP-C22-10WOCN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CN118339280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BHIP-C22-10WOEP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EP4399283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BHIP-C22-10WOJP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JP2024532537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BHIP-C22-10WOKR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South Korea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KR20240099150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BHIP-C22-10WOUS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 18/689,286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0" w:name="page21"/>
    <w:bookmarkEnd w:id="20"/>
    <w:p>
      <w:pPr>
        <w:jc w:val="both"/>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726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2726055"/>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IMPROVED ANTIBODY-PAYLOAD CONJUGATES (APCS) PREPARED BY SITE-SPECIFIC CONJUGATION UTILIZING GENETIC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EXPANSION</w:t>
      </w:r>
    </w:p>
    <w:p>
      <w:pPr>
        <w:spacing w:after="0" w:line="33" w:lineRule="exact"/>
        <w:rPr>
          <w:sz w:val="20"/>
          <w:szCs w:val="20"/>
          <w:color w:val="auto"/>
        </w:rPr>
      </w:pPr>
    </w:p>
    <w:p>
      <w:pPr>
        <w:jc w:val="both"/>
        <w:ind w:left="8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genetic code expansion technology. </w:t>
      </w:r>
      <w:r>
        <w:rPr>
          <w:rFonts w:ascii="Times New Roman" w:cs="Times New Roman" w:eastAsia="Times New Roman" w:hAnsi="Times New Roman"/>
          <w:sz w:val="18"/>
          <w:szCs w:val="18"/>
          <w:color w:val="auto"/>
        </w:rPr>
        <w:t>This patent describes anti-HER2 ADCs generated by introduction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unnatural amino acids via genetic code expansion. Multiple favorable positions for conjugation with, as well as the tetrazine-glucuronide-MMAE payload itself are claimed. The anti-HER2 ADCs perform better than current benchmarks and show complete stability and beneficial pharmacokinetics.</w:t>
      </w:r>
    </w:p>
    <w:tbl>
      <w:tblPr>
        <w:tblLayout w:type="fixed"/>
        <w:tblInd w:w="0" w:type="dxa"/>
        <w:tblCellMar>
          <w:top w:w="0" w:type="dxa"/>
          <w:left w:w="0" w:type="dxa"/>
          <w:bottom w:w="0" w:type="dxa"/>
          <w:right w:w="0" w:type="dxa"/>
        </w:tblCellMar>
      </w:tblPr>
      <w:tr>
        <w:trPr>
          <w:trHeight w:val="245"/>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ind w:left="4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BHIP-C22-11EP4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EP4186529</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9/27/22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9/27/42</w:t>
            </w:r>
          </w:p>
        </w:tc>
        <w:tc>
          <w:tcPr>
            <w:tcW w:w="20" w:type="dxa"/>
            <w:vAlign w:val="bottom"/>
            <w:tcBorders>
              <w:top w:val="single" w:sz="8" w:color="auto"/>
            </w:tcBorders>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BHIP-C22-11WOEP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EP4437005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BHIP-C22-11WOAU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AU2022395626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BHIP-C22-11WOCN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CN118613508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BHIP-C22-11WOCA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CA3238627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BHIP-C22-11WOKR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South Korea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KR20240105469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BHIP-C22-11WOJP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JP2024543916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BHIP-C22-11WOUS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 18/713,445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AU, BE, CH, DE, DK, ES, FR, GB, IE, IT, NL and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377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337756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HYDROPHILIC TRANS-CYCLOOCTENE (HYTCO) COMPOUNDS, CONSTRUCTS AND CONJUGATES CONTAINING THE SAME</w:t>
      </w:r>
    </w:p>
    <w:p>
      <w:pPr>
        <w:spacing w:after="0" w:line="104" w:lineRule="exact"/>
        <w:rPr>
          <w:sz w:val="20"/>
          <w:szCs w:val="20"/>
          <w:color w:val="auto"/>
        </w:rPr>
      </w:pPr>
    </w:p>
    <w:p>
      <w:pPr>
        <w:jc w:val="both"/>
        <w:ind w:left="8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VX-A902 candidate. </w:t>
      </w:r>
      <w:r>
        <w:rPr>
          <w:rFonts w:ascii="Times New Roman" w:cs="Times New Roman" w:eastAsia="Times New Roman" w:hAnsi="Times New Roman"/>
          <w:sz w:val="18"/>
          <w:szCs w:val="18"/>
          <w:color w:val="auto"/>
        </w:rPr>
        <w:t>This patent describes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trans</w:t>
      </w:r>
      <w:r>
        <w:rPr>
          <w:rFonts w:ascii="Times New Roman" w:cs="Times New Roman" w:eastAsia="Times New Roman" w:hAnsi="Times New Roman"/>
          <w:sz w:val="18"/>
          <w:szCs w:val="18"/>
          <w:color w:val="auto"/>
        </w:rPr>
        <w:t>-cyclooctene compounds that are stable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isomerization under physiological conditions and their use for preparing bioconjugates, especially ADCs via click chemistry. This substance matter patent broadly claims our proprietary click chemistry for multiple uses.</w:t>
      </w:r>
    </w:p>
    <w:tbl>
      <w:tblPr>
        <w:tblLayout w:type="fixed"/>
        <w:tblInd w:w="0" w:type="dxa"/>
        <w:tblCellMar>
          <w:top w:w="0" w:type="dxa"/>
          <w:left w:w="0" w:type="dxa"/>
          <w:bottom w:w="0" w:type="dxa"/>
          <w:right w:w="0" w:type="dxa"/>
        </w:tblCellMar>
      </w:tblPr>
      <w:tr>
        <w:trPr>
          <w:trHeight w:val="245"/>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Borders>
              <w:top w:val="single" w:sz="8" w:color="auto"/>
            </w:tcBorders>
          </w:tcPr>
          <w:p>
            <w:pPr>
              <w:spacing w:after="0"/>
              <w:rPr>
                <w:sz w:val="21"/>
                <w:szCs w:val="21"/>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BHIP-C22-12WOAU</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BHIP-C22-12WOBR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Brasil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Not yet filed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BHIP-C22-12WOIN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South Korea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BHIP-C22-12WOSG</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BHIP-C22-12WOUS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known yet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7/25/44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16</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1" w:name="page22"/>
    <w:bookmarkEnd w:id="21"/>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909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3909060"/>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DUAL ANTIGEN-INDUCED BIPARTITE FUNCTIONAL COMPLEMENTATION</w:t>
      </w:r>
    </w:p>
    <w:p>
      <w:pPr>
        <w:spacing w:after="0" w:line="104" w:lineRule="exact"/>
        <w:rPr>
          <w:sz w:val="20"/>
          <w:szCs w:val="20"/>
          <w:color w:val="auto"/>
        </w:rPr>
      </w:pPr>
    </w:p>
    <w:p>
      <w:pPr>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in-licensed Hemibody-TCE technology. </w:t>
      </w:r>
      <w:r>
        <w:rPr>
          <w:rFonts w:ascii="Times New Roman" w:cs="Times New Roman" w:eastAsia="Times New Roman" w:hAnsi="Times New Roman"/>
          <w:sz w:val="18"/>
          <w:szCs w:val="18"/>
          <w:color w:val="auto"/>
        </w:rPr>
        <w:t>This patent describes an on-cell reconstitution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to activate TCEs specifically on the tumor site, thereby increasing the therapeutic index of TCEs.</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19"/>
                <w:szCs w:val="19"/>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BHIP-C22-13WOAU</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AU2013208895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Borders>
              <w:top w:val="single" w:sz="8" w:color="auto"/>
            </w:tcBorders>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BHIP-C22-13WOBR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Brasil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BR112014017182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CA2861003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CN104159923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BHIP-C22-13WOEARU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Russia (EA)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RU033947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BHIP-C22-13WOEP3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EP3907241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IL233566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BHIP-C22-13WOIN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IN418167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JP6408915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South Korea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KR10-2100817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BHIP-C22-13WOMX</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MX359411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BHIP-C22-13WOSG</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SG11201403997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BHIP-C22-13WOUS2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US11427644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8/24/34</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BHIP-C22-13WOZA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ZA2014/05658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1/14/33</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RECOMBINANT ANTIBODY MOLECULE AND ITS USE FOR TARGET CELL RESTRICTED T CELL ACTIVATION</w:t>
      </w:r>
    </w:p>
    <w:p>
      <w:pPr>
        <w:spacing w:after="0" w:line="104" w:lineRule="exact"/>
        <w:rPr>
          <w:sz w:val="20"/>
          <w:szCs w:val="20"/>
          <w:color w:val="auto"/>
        </w:rPr>
      </w:pPr>
    </w:p>
    <w:p>
      <w:pPr>
        <w:ind w:left="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in-licensed Hemibody technology. </w:t>
      </w:r>
      <w:r>
        <w:rPr>
          <w:rFonts w:ascii="Times New Roman" w:cs="Times New Roman" w:eastAsia="Times New Roman" w:hAnsi="Times New Roman"/>
          <w:sz w:val="18"/>
          <w:szCs w:val="18"/>
          <w:color w:val="auto"/>
        </w:rPr>
        <w:t>This patent describes an additional format and CD3 binders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conditionally reconstitute active TCEs on the surface of tumor cells.</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BHIP-C22-14WOEP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EP3180361</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8/11/15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8/11/35</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BE, CH, DE, DK, ES, FR, GB, IE, IT and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268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SPECIFIC DOSAGE REGIMEN FOR HEMIBODY THERAPY</w:t>
      </w:r>
    </w:p>
    <w:p>
      <w:pPr>
        <w:spacing w:after="0" w:line="104" w:lineRule="exact"/>
        <w:rPr>
          <w:sz w:val="20"/>
          <w:szCs w:val="20"/>
          <w:color w:val="auto"/>
        </w:rPr>
      </w:pPr>
    </w:p>
    <w:p>
      <w:pPr>
        <w:ind w:left="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BiTAC-TCE technology. </w:t>
      </w:r>
      <w:r>
        <w:rPr>
          <w:rFonts w:ascii="Times New Roman" w:cs="Times New Roman" w:eastAsia="Times New Roman" w:hAnsi="Times New Roman"/>
          <w:sz w:val="18"/>
          <w:szCs w:val="18"/>
          <w:color w:val="auto"/>
        </w:rPr>
        <w:t>This patent describes an administration scheme of hemibodies that considers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differential expression of two targets on tumor cells.</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BHIP-C22-15WOEP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EP3759135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12/21/18</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12/21/38</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BHIP-C22-15WOUS2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US18/970,005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12/21/18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12/21/38</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2" w:name="page23"/>
    <w:bookmarkEnd w:id="22"/>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859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859915"/>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RECOMBINANT PROTEINACEOUS BINDING MOLECULES</w:t>
      </w:r>
    </w:p>
    <w:p>
      <w:pPr>
        <w:spacing w:after="0" w:line="104" w:lineRule="exact"/>
        <w:rPr>
          <w:sz w:val="20"/>
          <w:szCs w:val="20"/>
          <w:color w:val="auto"/>
        </w:rPr>
      </w:pPr>
    </w:p>
    <w:p>
      <w:pPr>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a variety of different formats for the hemibody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BHIP-C22-16WOEP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EP4346885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5/27/22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5/27/42</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BHIP-C22-16WOUS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18/564,921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5/27/22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BHIP-C22-16WOAU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AU20220281108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5/27/22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BHIP-C22-16WOCA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CA3217894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5/27/22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5/27/42</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BHIP-C22-16WOHK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HK40106922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5/27/22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5/27/42</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48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2648585"/>
                    </a:xfrm>
                    <a:prstGeom prst="rect">
                      <a:avLst/>
                    </a:prstGeom>
                    <a:noFill/>
                  </pic:spPr>
                </pic:pic>
              </a:graphicData>
            </a:graphic>
          </wp:anchor>
        </w:drawing>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ANTI-FLT3 ANTIBODIES AND METHODS OF USING THE SAME</w:t>
      </w:r>
    </w:p>
    <w:p>
      <w:pPr>
        <w:spacing w:after="0" w:line="104" w:lineRule="exact"/>
        <w:rPr>
          <w:sz w:val="20"/>
          <w:szCs w:val="20"/>
          <w:color w:val="auto"/>
        </w:rPr>
      </w:pPr>
    </w:p>
    <w:p>
      <w:pPr>
        <w:ind w:left="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VX-A901. </w:t>
      </w:r>
      <w:r>
        <w:rPr>
          <w:rFonts w:ascii="Times New Roman" w:cs="Times New Roman" w:eastAsia="Times New Roman" w:hAnsi="Times New Roman"/>
          <w:sz w:val="18"/>
          <w:szCs w:val="18"/>
          <w:color w:val="auto"/>
        </w:rPr>
        <w:t>This patent lies in the field of antibodies and relates to FLT3 specific antibodies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modified Fc region to generate or enhance antibody-dependent cell cytotoxicity (ADCC) as well as methods of using such antibodies.</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BHIP-C22-17WOEP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EP2516468</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Borders>
              <w:top w:val="single" w:sz="8" w:color="auto"/>
            </w:tcBorders>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BHIP-C22-17WOEPHK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HK1172910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BHIP-C22-17WOBR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BR112012015740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BHIP-C22-17WOCA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CA2785178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BHIP-C22-17WOCN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CN102770453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BHIP-C22-17WOEA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EA027502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BHIP-C22-17WOIN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IN328198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BHIP-C22-17WOJP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JP</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JP5944831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BHIP-C22-17WOUS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US9023996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right="2000" w:firstLine="8"/>
        <w:spacing w:after="0" w:line="282"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AL, AT, BE, CH, DE, DK, ES, FI, FR, GB, HR, HU, IE, IS, IT, LT, LU, LV, MC, MK, MT, NL, NO, SE and SI ** Validated in AM, AZ, BY, KG, KZ, MD, RU, TJ and 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208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1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BIPARTITE TARGETING AGENT-PAYLOAD CONJUGATES</w:t>
      </w:r>
    </w:p>
    <w:p>
      <w:pPr>
        <w:spacing w:after="0" w:line="104" w:lineRule="exact"/>
        <w:rPr>
          <w:sz w:val="20"/>
          <w:szCs w:val="20"/>
          <w:color w:val="auto"/>
        </w:rPr>
      </w:pPr>
    </w:p>
    <w:p>
      <w:pPr>
        <w:jc w:val="both"/>
        <w:ind w:left="8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our BiTAC-ADC technology. It claims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concept of dual targeting via different antibodies and release of toxin only via internalization of two components. The concept builds up on so called click-to-release possible with our proprietary click chemistry.</w:t>
      </w:r>
    </w:p>
    <w:tbl>
      <w:tblPr>
        <w:tblLayout w:type="fixed"/>
        <w:tblInd w:w="0" w:type="dxa"/>
        <w:tblCellMar>
          <w:top w:w="0" w:type="dxa"/>
          <w:left w:w="0" w:type="dxa"/>
          <w:bottom w:w="0" w:type="dxa"/>
          <w:right w:w="0" w:type="dxa"/>
        </w:tblCellMar>
      </w:tblPr>
      <w:tr>
        <w:trPr>
          <w:trHeight w:val="245"/>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BHIP-C22-18WO</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WIPO</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PCT/EP2026/055663</w:t>
            </w:r>
          </w:p>
        </w:tc>
        <w:tc>
          <w:tcPr>
            <w:tcW w:w="1680" w:type="dxa"/>
            <w:vAlign w:val="bottom"/>
            <w:tcBorders>
              <w:top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3/2/26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3/2/46</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18</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071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IMPROVED ANTI-CD3 ANTIBODIES</w:t>
      </w:r>
    </w:p>
    <w:p>
      <w:pPr>
        <w:spacing w:after="0" w:line="104" w:lineRule="exact"/>
        <w:rPr>
          <w:sz w:val="20"/>
          <w:szCs w:val="20"/>
          <w:color w:val="auto"/>
        </w:rPr>
      </w:pPr>
    </w:p>
    <w:p>
      <w:pPr>
        <w:jc w:val="both"/>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the engineering of a split CD3 interface region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therapeutic index of the BiTAC-TCE technology.</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BHIP-C22-19WO</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WIPO</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PCT/EP2025/088272</w:t>
            </w:r>
          </w:p>
        </w:tc>
        <w:tc>
          <w:tcPr>
            <w:tcW w:w="168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12/19/25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12/19/45</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IMPROVED SPLIT T CELL ENGAGING ANTIBODIES</w:t>
      </w:r>
    </w:p>
    <w:p>
      <w:pPr>
        <w:spacing w:after="0" w:line="104" w:lineRule="exact"/>
        <w:rPr>
          <w:sz w:val="20"/>
          <w:szCs w:val="20"/>
          <w:color w:val="auto"/>
        </w:rPr>
      </w:pPr>
    </w:p>
    <w:p>
      <w:pPr>
        <w:jc w:val="both"/>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novel formats for the BiTAC-TCE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superior functionalities</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BHIP-C22-20EP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EP26165009.7</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3/16/26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3/16/46</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45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228" w:lineRule="exact"/>
        <w:rPr>
          <w:sz w:val="20"/>
          <w:szCs w:val="20"/>
          <w:color w:val="auto"/>
        </w:rPr>
      </w:pPr>
    </w:p>
    <w:p>
      <w:pPr>
        <w:jc w:val="both"/>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NOVEL TCO-FUNCTIONALIZED GLYCAN ENGINEERED IMMUNOGLOBULIN MOLECULES AND NOVEL ANTIBODY PAYLOAD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CONJUGATES</w:t>
      </w:r>
    </w:p>
    <w:p>
      <w:pPr>
        <w:spacing w:after="0" w:line="33" w:lineRule="exact"/>
        <w:rPr>
          <w:sz w:val="20"/>
          <w:szCs w:val="20"/>
          <w:color w:val="auto"/>
        </w:rPr>
      </w:pPr>
    </w:p>
    <w:p>
      <w:pPr>
        <w:jc w:val="both"/>
        <w:ind w:left="8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technology of glycan engineering with tetrazin-based Click chemistry. </w:t>
      </w:r>
      <w:r>
        <w:rPr>
          <w:rFonts w:ascii="Times New Roman" w:cs="Times New Roman" w:eastAsia="Times New Roman" w:hAnsi="Times New Roman"/>
          <w:sz w:val="18"/>
          <w:szCs w:val="18"/>
          <w:color w:val="auto"/>
        </w:rPr>
        <w:t>This patent describes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our glycan engineering technology for introduction of </w:t>
      </w:r>
      <w:r>
        <w:rPr>
          <w:rFonts w:ascii="Times New Roman" w:cs="Times New Roman" w:eastAsia="Times New Roman" w:hAnsi="Times New Roman"/>
          <w:sz w:val="18"/>
          <w:szCs w:val="18"/>
          <w:i w:val="1"/>
          <w:iCs w:val="1"/>
          <w:color w:val="auto"/>
        </w:rPr>
        <w:t>trans</w:t>
      </w:r>
      <w:r>
        <w:rPr>
          <w:rFonts w:ascii="Times New Roman" w:cs="Times New Roman" w:eastAsia="Times New Roman" w:hAnsi="Times New Roman"/>
          <w:sz w:val="18"/>
          <w:szCs w:val="18"/>
          <w:color w:val="auto"/>
        </w:rPr>
        <w:t>-cyclooctenes into the native glycan of antibodies for creation of ADCs via click chemistry. This allows stable conjugation and storage and produces ADCs with exceptional efficacy and beneficial pharmacokinetics.</w:t>
      </w:r>
    </w:p>
    <w:tbl>
      <w:tblPr>
        <w:tblLayout w:type="fixed"/>
        <w:tblInd w:w="0" w:type="dxa"/>
        <w:tblCellMar>
          <w:top w:w="0" w:type="dxa"/>
          <w:left w:w="0" w:type="dxa"/>
          <w:bottom w:w="0" w:type="dxa"/>
          <w:right w:w="0" w:type="dxa"/>
        </w:tblCellMar>
      </w:tblPr>
      <w:tr>
        <w:trPr>
          <w:trHeight w:val="245"/>
        </w:trPr>
        <w:tc>
          <w:tcPr>
            <w:tcW w:w="28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BHIP-C22-21WO</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WIPO</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PCT/EP2025/088925</w:t>
            </w:r>
          </w:p>
        </w:tc>
        <w:tc>
          <w:tcPr>
            <w:tcW w:w="168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12/23/25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12/23/45</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IMPROVED PRODUCTION OF SPLIT ANTIBODIES</w:t>
      </w:r>
    </w:p>
    <w:p>
      <w:pPr>
        <w:spacing w:after="0" w:line="104" w:lineRule="exact"/>
        <w:rPr>
          <w:sz w:val="20"/>
          <w:szCs w:val="20"/>
          <w:color w:val="auto"/>
        </w:rPr>
      </w:pPr>
    </w:p>
    <w:p>
      <w:pPr>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antibody optimizations to improve the purity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BiTAC-TCE precursors during production.</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BHIP-C22-22WO</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WIPO</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PCT/EP2026/062314</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4/29/26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4/29/46</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PREDICTION AND TREATMENT METHODS FOR PATIENTS HAVING A HEMATOLOGY MALIGNANCY</w:t>
      </w:r>
    </w:p>
    <w:p>
      <w:pPr>
        <w:spacing w:after="0" w:line="104" w:lineRule="exact"/>
        <w:rPr>
          <w:sz w:val="20"/>
          <w:szCs w:val="20"/>
          <w:color w:val="auto"/>
        </w:rPr>
      </w:pPr>
    </w:p>
    <w:p>
      <w:pPr>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VX-A901 treatment and patient management. </w:t>
      </w:r>
      <w:r>
        <w:rPr>
          <w:rFonts w:ascii="Times New Roman" w:cs="Times New Roman" w:eastAsia="Times New Roman" w:hAnsi="Times New Roman"/>
          <w:sz w:val="18"/>
          <w:szCs w:val="18"/>
          <w:color w:val="auto"/>
        </w:rPr>
        <w:t>This patent describes patient stratification criteria on the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certain market genes useful for patient stratification and treatment monitoring.</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BHIP-C22-23EP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EP25211422.8</w:t>
            </w:r>
          </w:p>
        </w:tc>
        <w:tc>
          <w:tcPr>
            <w:tcW w:w="168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10/27/25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10/27/45</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19</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4" w:name="page25"/>
    <w:bookmarkEnd w:id="24"/>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071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RECOMBINANT BINDING PROTEINS SPECIFIC FOR EpCAM AND CDH3 TO ENGAGE T-CELLS</w:t>
      </w:r>
    </w:p>
    <w:p>
      <w:pPr>
        <w:spacing w:after="0" w:line="104" w:lineRule="exact"/>
        <w:rPr>
          <w:sz w:val="20"/>
          <w:szCs w:val="20"/>
          <w:color w:val="auto"/>
        </w:rPr>
      </w:pPr>
    </w:p>
    <w:p>
      <w:pPr>
        <w:ind w:left="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VERAXA’s proprietary EpCAMxCDH3 T cell engangers. </w:t>
      </w:r>
      <w:r>
        <w:rPr>
          <w:rFonts w:ascii="Times New Roman" w:cs="Times New Roman" w:eastAsia="Times New Roman" w:hAnsi="Times New Roman"/>
          <w:sz w:val="18"/>
          <w:szCs w:val="18"/>
          <w:color w:val="auto"/>
        </w:rPr>
        <w:t>This patent discloses VERAXA’s proprietary anti-EpCAMxCDH3 T 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engagers, including the molecule that is intended to enter clinical development.</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BHIP-C22-24EP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EP26165010.5</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3/16/26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3/16/46</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HER3-NEC4 BISPECIFIC ANTIBODY DRUG CONJUGATES</w:t>
      </w:r>
    </w:p>
    <w:p>
      <w:pPr>
        <w:spacing w:after="0" w:line="104" w:lineRule="exact"/>
        <w:rPr>
          <w:sz w:val="20"/>
          <w:szCs w:val="20"/>
          <w:color w:val="auto"/>
        </w:rPr>
      </w:pPr>
    </w:p>
    <w:p>
      <w:pPr>
        <w:ind w:left="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VERAXA’s proprietary HER3xNEC4 BiTACs. </w:t>
      </w:r>
      <w:r>
        <w:rPr>
          <w:rFonts w:ascii="Times New Roman" w:cs="Times New Roman" w:eastAsia="Times New Roman" w:hAnsi="Times New Roman"/>
          <w:sz w:val="18"/>
          <w:szCs w:val="18"/>
          <w:color w:val="auto"/>
        </w:rPr>
        <w:t>This patent discloses VERAXA’s proprietary anti-HER3xNEC4 BiTAC’s,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molecule that is intended to enter clinical development.</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BHIP-C22-25EP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EP26165065.9</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3/16/26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3/16/46</w:t>
            </w:r>
          </w:p>
        </w:tc>
        <w:tc>
          <w:tcPr>
            <w:tcW w:w="20" w:type="dxa"/>
            <w:vAlign w:val="bottom"/>
            <w:tcBorders>
              <w:top w:val="single" w:sz="8" w:color="auto"/>
            </w:tcBorders>
          </w:tcPr>
          <w:p>
            <w:pPr>
              <w:spacing w:after="0"/>
              <w:rPr>
                <w:sz w:val="21"/>
                <w:szCs w:val="21"/>
                <w:color w:val="auto"/>
              </w:rPr>
            </w:pPr>
          </w:p>
        </w:tc>
      </w:tr>
      <w:tr>
        <w:trPr>
          <w:trHeight w:val="40"/>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208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28" w:lineRule="exact"/>
        <w:rPr>
          <w:sz w:val="20"/>
          <w:szCs w:val="20"/>
          <w:color w:val="auto"/>
        </w:rPr>
      </w:pPr>
    </w:p>
    <w:p>
      <w:pPr>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TETRAZINE-FUNCTIONALIZED PYRROLOBENZODIAZEPINE-DIMER PAYLOADS AND CORRESPONDING ANTIBODY PAYLOAD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CONJUGATES</w:t>
      </w:r>
    </w:p>
    <w:p>
      <w:pPr>
        <w:spacing w:after="0" w:line="33" w:lineRule="exact"/>
        <w:rPr>
          <w:sz w:val="20"/>
          <w:szCs w:val="20"/>
          <w:color w:val="auto"/>
        </w:rPr>
      </w:pPr>
    </w:p>
    <w:p>
      <w:pPr>
        <w:ind w:left="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Novel PBD-based payloads. </w:t>
      </w:r>
      <w:r>
        <w:rPr>
          <w:rFonts w:ascii="Times New Roman" w:cs="Times New Roman" w:eastAsia="Times New Roman" w:hAnsi="Times New Roman"/>
          <w:sz w:val="18"/>
          <w:szCs w:val="18"/>
          <w:color w:val="auto"/>
        </w:rPr>
        <w:t>This patent describes novel pyrrolobenzodiazepine-dimer payloads that are used in conjunction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VERAXA’s BiTAC platform.</w:t>
      </w: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Patent/appl.</w:t>
            </w: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8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BHIP-C22-26EP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EP26165019.6</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3/16/26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3/16/46</w:t>
            </w:r>
          </w:p>
        </w:tc>
        <w:tc>
          <w:tcPr>
            <w:tcW w:w="20" w:type="dxa"/>
            <w:vAlign w:val="bottom"/>
            <w:tcBorders>
              <w:top w:val="single" w:sz="8" w:color="auto"/>
            </w:tcBorders>
          </w:tcPr>
          <w:p>
            <w:pPr>
              <w:spacing w:after="0"/>
              <w:rPr>
                <w:sz w:val="21"/>
                <w:szCs w:val="21"/>
                <w:color w:val="auto"/>
              </w:rPr>
            </w:pPr>
          </w:p>
        </w:tc>
      </w:tr>
      <w:tr>
        <w:trPr>
          <w:trHeight w:val="41"/>
        </w:trPr>
        <w:tc>
          <w:tcPr>
            <w:tcW w:w="28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provide an overview of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314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2314575"/>
                    </a:xfrm>
                    <a:prstGeom prst="rect">
                      <a:avLst/>
                    </a:prstGeom>
                    <a:noFill/>
                  </pic:spPr>
                </pic:pic>
              </a:graphicData>
            </a:graphic>
          </wp:anchor>
        </w:drawing>
      </w: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VERAXA (wordmark)</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140" w:type="dxa"/>
            <w:vAlign w:val="bottom"/>
            <w:tcBorders>
              <w:top w:val="single" w:sz="8" w:color="auto"/>
              <w:left w:val="single" w:sz="8" w:color="F2F2F2"/>
              <w:right w:val="single" w:sz="8" w:color="F2F2F2"/>
            </w:tcBorders>
            <w:shd w:val="clear" w:color="auto" w:fill="F2F2F2"/>
          </w:tcPr>
          <w:p>
            <w:pPr>
              <w:spacing w:after="0"/>
              <w:rPr>
                <w:sz w:val="21"/>
                <w:szCs w:val="21"/>
                <w:color w:val="auto"/>
              </w:rPr>
            </w:pPr>
          </w:p>
        </w:tc>
        <w:tc>
          <w:tcPr>
            <w:tcW w:w="240" w:type="dxa"/>
            <w:vAlign w:val="bottom"/>
            <w:tcBorders>
              <w:top w:val="single" w:sz="8" w:color="auto"/>
              <w:right w:val="single" w:sz="8" w:color="auto"/>
            </w:tcBorders>
            <w:shd w:val="clear" w:color="auto" w:fill="F2F2F2"/>
          </w:tcPr>
          <w:p>
            <w:pPr>
              <w:spacing w:after="0"/>
              <w:rPr>
                <w:sz w:val="21"/>
                <w:szCs w:val="21"/>
                <w:color w:val="auto"/>
              </w:rPr>
            </w:pPr>
          </w:p>
        </w:tc>
        <w:tc>
          <w:tcPr>
            <w:tcW w:w="880" w:type="dxa"/>
            <w:vAlign w:val="bottom"/>
            <w:tcBorders>
              <w:top w:val="single" w:sz="8" w:color="auto"/>
              <w:right w:val="single" w:sz="8" w:color="F2F2F2"/>
            </w:tcBorders>
            <w:shd w:val="clear" w:color="auto" w:fill="F2F2F2"/>
          </w:tcPr>
          <w:p>
            <w:pPr>
              <w:spacing w:after="0"/>
              <w:rPr>
                <w:sz w:val="21"/>
                <w:szCs w:val="21"/>
                <w:color w:val="auto"/>
              </w:rPr>
            </w:pPr>
          </w:p>
        </w:tc>
        <w:tc>
          <w:tcPr>
            <w:tcW w:w="240" w:type="dxa"/>
            <w:vAlign w:val="bottom"/>
            <w:tcBorders>
              <w:top w:val="single" w:sz="8" w:color="auto"/>
              <w:right w:val="single" w:sz="8" w:color="auto"/>
            </w:tcBorders>
            <w:shd w:val="clear" w:color="auto" w:fill="F2F2F2"/>
          </w:tcPr>
          <w:p>
            <w:pPr>
              <w:spacing w:after="0"/>
              <w:rPr>
                <w:sz w:val="21"/>
                <w:szCs w:val="21"/>
                <w:color w:val="auto"/>
              </w:rPr>
            </w:pPr>
          </w:p>
        </w:tc>
        <w:tc>
          <w:tcPr>
            <w:tcW w:w="880" w:type="dxa"/>
            <w:vAlign w:val="bottom"/>
            <w:tcBorders>
              <w:top w:val="single" w:sz="8" w:color="auto"/>
              <w:right w:val="single" w:sz="8" w:color="F2F2F2"/>
            </w:tcBorders>
            <w:shd w:val="clear" w:color="auto" w:fill="F2F2F2"/>
          </w:tcPr>
          <w:p>
            <w:pPr>
              <w:spacing w:after="0"/>
              <w:rPr>
                <w:sz w:val="21"/>
                <w:szCs w:val="21"/>
                <w:color w:val="auto"/>
              </w:rPr>
            </w:pPr>
          </w:p>
        </w:tc>
        <w:tc>
          <w:tcPr>
            <w:tcW w:w="140" w:type="dxa"/>
            <w:vAlign w:val="bottom"/>
            <w:tcBorders>
              <w:top w:val="single" w:sz="8" w:color="auto"/>
            </w:tcBorders>
            <w:shd w:val="clear" w:color="auto" w:fill="F2F2F2"/>
          </w:tcPr>
          <w:p>
            <w:pPr>
              <w:spacing w:after="0"/>
              <w:rPr>
                <w:sz w:val="21"/>
                <w:szCs w:val="21"/>
                <w:color w:val="auto"/>
              </w:rPr>
            </w:pPr>
          </w:p>
        </w:tc>
        <w:tc>
          <w:tcPr>
            <w:tcW w:w="100" w:type="dxa"/>
            <w:vAlign w:val="bottom"/>
            <w:tcBorders>
              <w:top w:val="single" w:sz="8" w:color="auto"/>
              <w:right w:val="single" w:sz="8" w:color="auto"/>
            </w:tcBorders>
            <w:shd w:val="clear" w:color="auto" w:fill="F2F2F2"/>
          </w:tcPr>
          <w:p>
            <w:pPr>
              <w:spacing w:after="0"/>
              <w:rPr>
                <w:sz w:val="21"/>
                <w:szCs w:val="21"/>
                <w:color w:val="auto"/>
              </w:rPr>
            </w:pPr>
          </w:p>
        </w:tc>
        <w:tc>
          <w:tcPr>
            <w:tcW w:w="920" w:type="dxa"/>
            <w:vAlign w:val="bottom"/>
            <w:tcBorders>
              <w:top w:val="single" w:sz="8" w:color="auto"/>
              <w:right w:val="single" w:sz="8" w:color="F2F2F2"/>
            </w:tcBorders>
            <w:shd w:val="clear" w:color="auto" w:fill="F2F2F2"/>
          </w:tcPr>
          <w:p>
            <w:pPr>
              <w:spacing w:after="0"/>
              <w:rPr>
                <w:sz w:val="21"/>
                <w:szCs w:val="21"/>
                <w:color w:val="auto"/>
              </w:rPr>
            </w:pPr>
          </w:p>
        </w:tc>
        <w:tc>
          <w:tcPr>
            <w:tcW w:w="220" w:type="dxa"/>
            <w:vAlign w:val="bottom"/>
            <w:tcBorders>
              <w:top w:val="single" w:sz="8" w:color="auto"/>
              <w:right w:val="single" w:sz="8" w:color="auto"/>
            </w:tcBorders>
            <w:shd w:val="clear" w:color="auto" w:fill="F2F2F2"/>
          </w:tcPr>
          <w:p>
            <w:pPr>
              <w:spacing w:after="0"/>
              <w:rPr>
                <w:sz w:val="21"/>
                <w:szCs w:val="21"/>
                <w:color w:val="auto"/>
              </w:rPr>
            </w:pPr>
          </w:p>
        </w:tc>
        <w:tc>
          <w:tcPr>
            <w:tcW w:w="900" w:type="dxa"/>
            <w:vAlign w:val="bottom"/>
            <w:tcBorders>
              <w:top w:val="single" w:sz="8" w:color="auto"/>
              <w:right w:val="single" w:sz="8" w:color="F2F2F2"/>
            </w:tcBorders>
            <w:shd w:val="clear" w:color="auto" w:fill="F2F2F2"/>
          </w:tcPr>
          <w:p>
            <w:pPr>
              <w:spacing w:after="0"/>
              <w:rPr>
                <w:sz w:val="21"/>
                <w:szCs w:val="21"/>
                <w:color w:val="auto"/>
              </w:rPr>
            </w:pPr>
          </w:p>
        </w:tc>
        <w:tc>
          <w:tcPr>
            <w:tcW w:w="80" w:type="dxa"/>
            <w:vAlign w:val="bottom"/>
            <w:tcBorders>
              <w:top w:val="single" w:sz="8" w:color="auto"/>
            </w:tcBorders>
            <w:shd w:val="clear" w:color="auto" w:fill="F2F2F2"/>
          </w:tcPr>
          <w:p>
            <w:pPr>
              <w:spacing w:after="0"/>
              <w:rPr>
                <w:sz w:val="21"/>
                <w:szCs w:val="21"/>
                <w:color w:val="auto"/>
              </w:rPr>
            </w:pPr>
          </w:p>
        </w:tc>
        <w:tc>
          <w:tcPr>
            <w:tcW w:w="140" w:type="dxa"/>
            <w:vAlign w:val="bottom"/>
            <w:tcBorders>
              <w:top w:val="single" w:sz="8" w:color="auto"/>
              <w:right w:val="single" w:sz="8" w:color="auto"/>
            </w:tcBorders>
            <w:shd w:val="clear" w:color="auto" w:fill="F2F2F2"/>
          </w:tcPr>
          <w:p>
            <w:pPr>
              <w:spacing w:after="0"/>
              <w:rPr>
                <w:sz w:val="21"/>
                <w:szCs w:val="21"/>
                <w:color w:val="auto"/>
              </w:rPr>
            </w:pPr>
          </w:p>
        </w:tc>
        <w:tc>
          <w:tcPr>
            <w:tcW w:w="900" w:type="dxa"/>
            <w:vAlign w:val="bottom"/>
            <w:tcBorders>
              <w:top w:val="single" w:sz="8" w:color="auto"/>
              <w:right w:val="single" w:sz="8" w:color="F2F2F2"/>
            </w:tcBorders>
            <w:shd w:val="clear" w:color="auto" w:fill="F2F2F2"/>
          </w:tcPr>
          <w:p>
            <w:pPr>
              <w:spacing w:after="0"/>
              <w:rPr>
                <w:sz w:val="21"/>
                <w:szCs w:val="21"/>
                <w:color w:val="auto"/>
              </w:rPr>
            </w:pPr>
          </w:p>
        </w:tc>
        <w:tc>
          <w:tcPr>
            <w:tcW w:w="80" w:type="dxa"/>
            <w:vAlign w:val="bottom"/>
            <w:tcBorders>
              <w:top w:val="single" w:sz="8" w:color="auto"/>
            </w:tcBorders>
            <w:shd w:val="clear" w:color="auto" w:fill="F2F2F2"/>
          </w:tcPr>
          <w:p>
            <w:pPr>
              <w:spacing w:after="0"/>
              <w:rPr>
                <w:sz w:val="21"/>
                <w:szCs w:val="21"/>
                <w:color w:val="auto"/>
              </w:rPr>
            </w:pPr>
          </w:p>
        </w:tc>
        <w:tc>
          <w:tcPr>
            <w:tcW w:w="140" w:type="dxa"/>
            <w:vAlign w:val="bottom"/>
            <w:tcBorders>
              <w:top w:val="single" w:sz="8" w:color="auto"/>
              <w:right w:val="single" w:sz="8" w:color="auto"/>
            </w:tcBorders>
            <w:shd w:val="clear" w:color="auto" w:fill="F2F2F2"/>
          </w:tcPr>
          <w:p>
            <w:pPr>
              <w:spacing w:after="0"/>
              <w:rPr>
                <w:sz w:val="21"/>
                <w:szCs w:val="21"/>
                <w:color w:val="auto"/>
              </w:rPr>
            </w:pPr>
          </w:p>
        </w:tc>
        <w:tc>
          <w:tcPr>
            <w:tcW w:w="11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w:t>
            </w:r>
          </w:p>
        </w:tc>
        <w:tc>
          <w:tcPr>
            <w:tcW w:w="110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w:t>
            </w:r>
          </w:p>
        </w:tc>
        <w:tc>
          <w:tcPr>
            <w:tcW w:w="20" w:type="dxa"/>
            <w:vAlign w:val="bottom"/>
            <w:tcBorders>
              <w:top w:val="single" w:sz="8" w:color="auto"/>
            </w:tcBorders>
          </w:tcPr>
          <w:p>
            <w:pPr>
              <w:spacing w:after="0"/>
              <w:rPr>
                <w:sz w:val="21"/>
                <w:szCs w:val="21"/>
                <w:color w:val="auto"/>
              </w:rPr>
            </w:pPr>
          </w:p>
        </w:tc>
      </w:tr>
      <w:tr>
        <w:trPr>
          <w:trHeight w:val="272"/>
        </w:trPr>
        <w:tc>
          <w:tcPr>
            <w:tcW w:w="3380" w:type="dxa"/>
            <w:vAlign w:val="bottom"/>
            <w:tcBorders>
              <w:left w:val="single" w:sz="8" w:color="F2F2F2"/>
              <w:bottom w:val="single" w:sz="8" w:color="auto"/>
              <w:right w:val="single" w:sz="8" w:color="auto"/>
            </w:tcBorders>
            <w:gridSpan w:val="2"/>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Record ID</w:t>
            </w:r>
          </w:p>
        </w:tc>
        <w:tc>
          <w:tcPr>
            <w:tcW w:w="880" w:type="dxa"/>
            <w:vAlign w:val="bottom"/>
            <w:tcBorders>
              <w:bottom w:val="single" w:sz="8" w:color="auto"/>
              <w:right w:val="single" w:sz="8" w:color="F2F2F2"/>
            </w:tcBorders>
            <w:shd w:val="clear" w:color="auto" w:fill="F2F2F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40" w:type="dxa"/>
            <w:vAlign w:val="bottom"/>
            <w:tcBorders>
              <w:bottom w:val="single" w:sz="8" w:color="auto"/>
              <w:right w:val="single" w:sz="8" w:color="auto"/>
            </w:tcBorders>
            <w:shd w:val="clear" w:color="auto" w:fill="F2F2F2"/>
          </w:tcPr>
          <w:p>
            <w:pPr>
              <w:spacing w:after="0"/>
              <w:rPr>
                <w:sz w:val="23"/>
                <w:szCs w:val="23"/>
                <w:color w:val="auto"/>
              </w:rPr>
            </w:pPr>
          </w:p>
        </w:tc>
        <w:tc>
          <w:tcPr>
            <w:tcW w:w="1020" w:type="dxa"/>
            <w:vAlign w:val="bottom"/>
            <w:tcBorders>
              <w:bottom w:val="single" w:sz="8" w:color="auto"/>
            </w:tcBorders>
            <w:gridSpan w:val="2"/>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Convention</w:t>
            </w:r>
          </w:p>
        </w:tc>
        <w:tc>
          <w:tcPr>
            <w:tcW w:w="100" w:type="dxa"/>
            <w:vAlign w:val="bottom"/>
            <w:tcBorders>
              <w:bottom w:val="single" w:sz="8" w:color="auto"/>
              <w:right w:val="single" w:sz="8" w:color="auto"/>
            </w:tcBorders>
            <w:shd w:val="clear" w:color="auto" w:fill="F2F2F2"/>
          </w:tcPr>
          <w:p>
            <w:pPr>
              <w:spacing w:after="0"/>
              <w:rPr>
                <w:sz w:val="23"/>
                <w:szCs w:val="23"/>
                <w:color w:val="auto"/>
              </w:rPr>
            </w:pPr>
          </w:p>
        </w:tc>
        <w:tc>
          <w:tcPr>
            <w:tcW w:w="1140" w:type="dxa"/>
            <w:vAlign w:val="bottom"/>
            <w:tcBorders>
              <w:bottom w:val="single" w:sz="8" w:color="auto"/>
              <w:right w:val="single" w:sz="8" w:color="auto"/>
            </w:tcBorders>
            <w:gridSpan w:val="2"/>
            <w:shd w:val="clear" w:color="auto" w:fill="F2F2F2"/>
          </w:tcPr>
          <w:p>
            <w:pPr>
              <w:ind w:left="280"/>
              <w:spacing w:after="0"/>
              <w:rPr>
                <w:sz w:val="20"/>
                <w:szCs w:val="20"/>
                <w:color w:val="auto"/>
              </w:rPr>
            </w:pPr>
            <w:r>
              <w:rPr>
                <w:rFonts w:ascii="Times New Roman" w:cs="Times New Roman" w:eastAsia="Times New Roman" w:hAnsi="Times New Roman"/>
                <w:sz w:val="18"/>
                <w:szCs w:val="18"/>
                <w:b w:val="1"/>
                <w:bCs w:val="1"/>
                <w:color w:val="auto"/>
              </w:rPr>
              <w:t>Classes</w:t>
            </w:r>
          </w:p>
        </w:tc>
        <w:tc>
          <w:tcPr>
            <w:tcW w:w="980" w:type="dxa"/>
            <w:vAlign w:val="bottom"/>
            <w:tcBorders>
              <w:bottom w:val="single" w:sz="8" w:color="auto"/>
            </w:tcBorders>
            <w:gridSpan w:val="2"/>
            <w:shd w:val="clear" w:color="auto" w:fill="F2F2F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40" w:type="dxa"/>
            <w:vAlign w:val="bottom"/>
            <w:tcBorders>
              <w:bottom w:val="single" w:sz="8" w:color="auto"/>
              <w:right w:val="single" w:sz="8" w:color="auto"/>
            </w:tcBorders>
            <w:shd w:val="clear" w:color="auto" w:fill="F2F2F2"/>
          </w:tcPr>
          <w:p>
            <w:pPr>
              <w:spacing w:after="0"/>
              <w:rPr>
                <w:sz w:val="23"/>
                <w:szCs w:val="23"/>
                <w:color w:val="auto"/>
              </w:rPr>
            </w:pPr>
          </w:p>
        </w:tc>
        <w:tc>
          <w:tcPr>
            <w:tcW w:w="980" w:type="dxa"/>
            <w:vAlign w:val="bottom"/>
            <w:tcBorders>
              <w:bottom w:val="single" w:sz="8" w:color="auto"/>
            </w:tcBorders>
            <w:gridSpan w:val="2"/>
            <w:shd w:val="clear" w:color="auto" w:fill="F2F2F2"/>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Appl. Date</w:t>
            </w:r>
          </w:p>
        </w:tc>
        <w:tc>
          <w:tcPr>
            <w:tcW w:w="140" w:type="dxa"/>
            <w:vAlign w:val="bottom"/>
            <w:tcBorders>
              <w:bottom w:val="single" w:sz="8" w:color="auto"/>
              <w:right w:val="single" w:sz="8" w:color="auto"/>
            </w:tcBorders>
            <w:shd w:val="clear" w:color="auto" w:fill="F2F2F2"/>
          </w:tcPr>
          <w:p>
            <w:pPr>
              <w:spacing w:after="0"/>
              <w:rPr>
                <w:sz w:val="23"/>
                <w:szCs w:val="23"/>
                <w:color w:val="auto"/>
              </w:rPr>
            </w:pPr>
          </w:p>
        </w:tc>
        <w:tc>
          <w:tcPr>
            <w:tcW w:w="11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tcBorders>
              <w:bottom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Borders>
              <w:bottom w:val="single" w:sz="8" w:color="auto"/>
            </w:tcBorders>
          </w:tcPr>
          <w:p>
            <w:pPr>
              <w:spacing w:after="0"/>
              <w:rPr>
                <w:sz w:val="23"/>
                <w:szCs w:val="23"/>
                <w:color w:val="auto"/>
              </w:rPr>
            </w:pPr>
          </w:p>
        </w:tc>
      </w:tr>
      <w:tr>
        <w:trPr>
          <w:trHeight w:val="257"/>
        </w:trPr>
        <w:tc>
          <w:tcPr>
            <w:tcW w:w="3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BHIP-C22-TM-01/EM</w:t>
            </w:r>
          </w:p>
        </w:tc>
        <w:tc>
          <w:tcPr>
            <w:tcW w:w="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EU</w:t>
            </w:r>
          </w:p>
        </w:tc>
        <w:tc>
          <w:tcPr>
            <w:tcW w:w="240" w:type="dxa"/>
            <w:vAlign w:val="bottom"/>
            <w:tcBorders>
              <w:right w:val="single" w:sz="8" w:color="auto"/>
            </w:tcBorders>
          </w:tcPr>
          <w:p>
            <w:pPr>
              <w:spacing w:after="0"/>
              <w:rPr>
                <w:sz w:val="22"/>
                <w:szCs w:val="22"/>
                <w:color w:val="auto"/>
              </w:rPr>
            </w:pPr>
          </w:p>
        </w:tc>
        <w:tc>
          <w:tcPr>
            <w:tcW w:w="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EU</w:t>
            </w:r>
          </w:p>
        </w:tc>
        <w:tc>
          <w:tcPr>
            <w:tcW w:w="1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5,9,42,44</w:t>
            </w:r>
          </w:p>
        </w:tc>
        <w:tc>
          <w:tcPr>
            <w:tcW w:w="220" w:type="dxa"/>
            <w:vAlign w:val="bottom"/>
            <w:tcBorders>
              <w:right w:val="single" w:sz="8" w:color="auto"/>
            </w:tcBorders>
          </w:tcPr>
          <w:p>
            <w:pPr>
              <w:spacing w:after="0"/>
              <w:rPr>
                <w:sz w:val="22"/>
                <w:szCs w:val="22"/>
                <w:color w:val="auto"/>
              </w:rPr>
            </w:pP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Registered</w:t>
            </w:r>
          </w:p>
        </w:tc>
        <w:tc>
          <w:tcPr>
            <w:tcW w:w="140" w:type="dxa"/>
            <w:vAlign w:val="bottom"/>
            <w:tcBorders>
              <w:right w:val="single" w:sz="8" w:color="auto"/>
            </w:tcBorders>
          </w:tcPr>
          <w:p>
            <w:pPr>
              <w:spacing w:after="0"/>
              <w:rPr>
                <w:sz w:val="22"/>
                <w:szCs w:val="22"/>
                <w:color w:val="auto"/>
              </w:rPr>
            </w:pP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12/21/20</w:t>
            </w:r>
          </w:p>
        </w:tc>
        <w:tc>
          <w:tcPr>
            <w:tcW w:w="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018359289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018359289</w:t>
            </w:r>
          </w:p>
        </w:tc>
        <w:tc>
          <w:tcPr>
            <w:tcW w:w="20" w:type="dxa"/>
            <w:vAlign w:val="bottom"/>
          </w:tcPr>
          <w:p>
            <w:pPr>
              <w:spacing w:after="0"/>
              <w:rPr>
                <w:sz w:val="22"/>
                <w:szCs w:val="22"/>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BHIP-C22-TM-01/US</w:t>
            </w: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US</w:t>
            </w:r>
          </w:p>
        </w:tc>
        <w:tc>
          <w:tcPr>
            <w:tcW w:w="240" w:type="dxa"/>
            <w:vAlign w:val="bottom"/>
            <w:tcBorders>
              <w:right w:val="single" w:sz="8" w:color="auto"/>
            </w:tcBorders>
          </w:tcPr>
          <w:p>
            <w:pPr>
              <w:spacing w:after="0"/>
              <w:rPr>
                <w:sz w:val="21"/>
                <w:szCs w:val="21"/>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National</w:t>
            </w:r>
          </w:p>
        </w:tc>
        <w:tc>
          <w:tcPr>
            <w:tcW w:w="1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1,5,9,10,42,44</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Registered</w:t>
            </w:r>
          </w:p>
        </w:tc>
        <w:tc>
          <w:tcPr>
            <w:tcW w:w="140" w:type="dxa"/>
            <w:vAlign w:val="bottom"/>
            <w:tcBorders>
              <w:right w:val="single" w:sz="8" w:color="auto"/>
            </w:tcBorders>
          </w:tcPr>
          <w:p>
            <w:pPr>
              <w:spacing w:after="0"/>
              <w:rPr>
                <w:sz w:val="21"/>
                <w:szCs w:val="21"/>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6/21/21</w:t>
            </w:r>
          </w:p>
        </w:tc>
        <w:tc>
          <w:tcPr>
            <w:tcW w:w="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90784943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7282793</w:t>
            </w:r>
          </w:p>
        </w:tc>
        <w:tc>
          <w:tcPr>
            <w:tcW w:w="20" w:type="dxa"/>
            <w:vAlign w:val="bottom"/>
          </w:tcPr>
          <w:p>
            <w:pPr>
              <w:spacing w:after="0"/>
              <w:rPr>
                <w:sz w:val="21"/>
                <w:szCs w:val="21"/>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BHIP-C22-TM-01/WO</w:t>
            </w: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WIPO</w:t>
            </w:r>
          </w:p>
        </w:tc>
        <w:tc>
          <w:tcPr>
            <w:tcW w:w="240" w:type="dxa"/>
            <w:vAlign w:val="bottom"/>
            <w:tcBorders>
              <w:right w:val="single" w:sz="8" w:color="auto"/>
            </w:tcBorders>
          </w:tcPr>
          <w:p>
            <w:pPr>
              <w:spacing w:after="0"/>
              <w:rPr>
                <w:sz w:val="21"/>
                <w:szCs w:val="21"/>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IR</w:t>
            </w:r>
          </w:p>
        </w:tc>
        <w:tc>
          <w:tcPr>
            <w:tcW w:w="1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5,9,42,44</w:t>
            </w:r>
          </w:p>
        </w:tc>
        <w:tc>
          <w:tcPr>
            <w:tcW w:w="220" w:type="dxa"/>
            <w:vAlign w:val="bottom"/>
            <w:tcBorders>
              <w:right w:val="single" w:sz="8" w:color="auto"/>
            </w:tcBorders>
          </w:tcPr>
          <w:p>
            <w:pPr>
              <w:spacing w:after="0"/>
              <w:rPr>
                <w:sz w:val="21"/>
                <w:szCs w:val="21"/>
                <w:color w:val="auto"/>
              </w:rPr>
            </w:pP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Registered</w:t>
            </w:r>
          </w:p>
        </w:tc>
        <w:tc>
          <w:tcPr>
            <w:tcW w:w="140" w:type="dxa"/>
            <w:vAlign w:val="bottom"/>
            <w:tcBorders>
              <w:right w:val="single" w:sz="8" w:color="auto"/>
            </w:tcBorders>
          </w:tcPr>
          <w:p>
            <w:pPr>
              <w:spacing w:after="0"/>
              <w:rPr>
                <w:sz w:val="21"/>
                <w:szCs w:val="21"/>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6/21/21</w:t>
            </w:r>
          </w:p>
        </w:tc>
        <w:tc>
          <w:tcPr>
            <w:tcW w:w="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20" w:type="dxa"/>
            <w:vAlign w:val="bottom"/>
          </w:tcPr>
          <w:p>
            <w:pPr>
              <w:spacing w:after="0"/>
              <w:rPr>
                <w:sz w:val="21"/>
                <w:szCs w:val="21"/>
                <w:color w:val="auto"/>
              </w:rPr>
            </w:pPr>
          </w:p>
        </w:tc>
      </w:tr>
      <w:tr>
        <w:trPr>
          <w:trHeight w:val="41"/>
        </w:trPr>
        <w:tc>
          <w:tcPr>
            <w:tcW w:w="31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BHIP-C22-TM-01/WO-CN</w:t>
            </w: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CN</w:t>
            </w:r>
          </w:p>
        </w:tc>
        <w:tc>
          <w:tcPr>
            <w:tcW w:w="240" w:type="dxa"/>
            <w:vAlign w:val="bottom"/>
            <w:tcBorders>
              <w:right w:val="single" w:sz="8" w:color="auto"/>
            </w:tcBorders>
          </w:tcPr>
          <w:p>
            <w:pPr>
              <w:spacing w:after="0"/>
              <w:rPr>
                <w:sz w:val="21"/>
                <w:szCs w:val="21"/>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Madrid</w:t>
            </w:r>
          </w:p>
        </w:tc>
        <w:tc>
          <w:tcPr>
            <w:tcW w:w="1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5,9,44</w:t>
            </w:r>
          </w:p>
        </w:tc>
        <w:tc>
          <w:tcPr>
            <w:tcW w:w="220" w:type="dxa"/>
            <w:vAlign w:val="bottom"/>
            <w:tcBorders>
              <w:right w:val="single" w:sz="8" w:color="auto"/>
            </w:tcBorders>
          </w:tcPr>
          <w:p>
            <w:pPr>
              <w:spacing w:after="0"/>
              <w:rPr>
                <w:sz w:val="21"/>
                <w:szCs w:val="21"/>
                <w:color w:val="auto"/>
              </w:rPr>
            </w:pP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Registered</w:t>
            </w:r>
          </w:p>
        </w:tc>
        <w:tc>
          <w:tcPr>
            <w:tcW w:w="140" w:type="dxa"/>
            <w:vAlign w:val="bottom"/>
            <w:tcBorders>
              <w:right w:val="single" w:sz="8" w:color="auto"/>
            </w:tcBorders>
          </w:tcPr>
          <w:p>
            <w:pPr>
              <w:spacing w:after="0"/>
              <w:rPr>
                <w:sz w:val="21"/>
                <w:szCs w:val="21"/>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6/21/21</w:t>
            </w:r>
          </w:p>
        </w:tc>
        <w:tc>
          <w:tcPr>
            <w:tcW w:w="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20" w:type="dxa"/>
            <w:vAlign w:val="bottom"/>
          </w:tcPr>
          <w:p>
            <w:pPr>
              <w:spacing w:after="0"/>
              <w:rPr>
                <w:sz w:val="21"/>
                <w:szCs w:val="21"/>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BHIP-C22-TM-01/WO-GB</w:t>
            </w: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GB</w:t>
            </w:r>
          </w:p>
        </w:tc>
        <w:tc>
          <w:tcPr>
            <w:tcW w:w="240" w:type="dxa"/>
            <w:vAlign w:val="bottom"/>
            <w:tcBorders>
              <w:right w:val="single" w:sz="8" w:color="auto"/>
            </w:tcBorders>
          </w:tcPr>
          <w:p>
            <w:pPr>
              <w:spacing w:after="0"/>
              <w:rPr>
                <w:sz w:val="21"/>
                <w:szCs w:val="21"/>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Madrid</w:t>
            </w:r>
          </w:p>
        </w:tc>
        <w:tc>
          <w:tcPr>
            <w:tcW w:w="1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5,9,42,44</w:t>
            </w:r>
          </w:p>
        </w:tc>
        <w:tc>
          <w:tcPr>
            <w:tcW w:w="220" w:type="dxa"/>
            <w:vAlign w:val="bottom"/>
            <w:tcBorders>
              <w:right w:val="single" w:sz="8" w:color="auto"/>
            </w:tcBorders>
          </w:tcPr>
          <w:p>
            <w:pPr>
              <w:spacing w:after="0"/>
              <w:rPr>
                <w:sz w:val="21"/>
                <w:szCs w:val="21"/>
                <w:color w:val="auto"/>
              </w:rPr>
            </w:pP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Registered</w:t>
            </w:r>
          </w:p>
        </w:tc>
        <w:tc>
          <w:tcPr>
            <w:tcW w:w="140" w:type="dxa"/>
            <w:vAlign w:val="bottom"/>
            <w:tcBorders>
              <w:right w:val="single" w:sz="8" w:color="auto"/>
            </w:tcBorders>
          </w:tcPr>
          <w:p>
            <w:pPr>
              <w:spacing w:after="0"/>
              <w:rPr>
                <w:sz w:val="21"/>
                <w:szCs w:val="21"/>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6/21/21</w:t>
            </w:r>
          </w:p>
        </w:tc>
        <w:tc>
          <w:tcPr>
            <w:tcW w:w="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20" w:type="dxa"/>
            <w:vAlign w:val="bottom"/>
          </w:tcPr>
          <w:p>
            <w:pPr>
              <w:spacing w:after="0"/>
              <w:rPr>
                <w:sz w:val="21"/>
                <w:szCs w:val="21"/>
                <w:color w:val="auto"/>
              </w:rPr>
            </w:pPr>
          </w:p>
        </w:tc>
      </w:tr>
      <w:tr>
        <w:trPr>
          <w:trHeight w:val="41"/>
        </w:trPr>
        <w:tc>
          <w:tcPr>
            <w:tcW w:w="31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BHIP-C22-TM-01/WO-IN</w:t>
            </w: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4"/>
              </w:rPr>
              <w:t>IN</w:t>
            </w:r>
          </w:p>
        </w:tc>
        <w:tc>
          <w:tcPr>
            <w:tcW w:w="240" w:type="dxa"/>
            <w:vAlign w:val="bottom"/>
            <w:tcBorders>
              <w:right w:val="single" w:sz="8" w:color="auto"/>
            </w:tcBorders>
          </w:tcPr>
          <w:p>
            <w:pPr>
              <w:spacing w:after="0"/>
              <w:rPr>
                <w:sz w:val="21"/>
                <w:szCs w:val="21"/>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Madrid</w:t>
            </w:r>
          </w:p>
        </w:tc>
        <w:tc>
          <w:tcPr>
            <w:tcW w:w="1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5,9,42,44</w:t>
            </w:r>
          </w:p>
        </w:tc>
        <w:tc>
          <w:tcPr>
            <w:tcW w:w="220" w:type="dxa"/>
            <w:vAlign w:val="bottom"/>
            <w:tcBorders>
              <w:right w:val="single" w:sz="8" w:color="auto"/>
            </w:tcBorders>
          </w:tcPr>
          <w:p>
            <w:pPr>
              <w:spacing w:after="0"/>
              <w:rPr>
                <w:sz w:val="21"/>
                <w:szCs w:val="21"/>
                <w:color w:val="auto"/>
              </w:rPr>
            </w:pP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Registered</w:t>
            </w:r>
          </w:p>
        </w:tc>
        <w:tc>
          <w:tcPr>
            <w:tcW w:w="140" w:type="dxa"/>
            <w:vAlign w:val="bottom"/>
            <w:tcBorders>
              <w:right w:val="single" w:sz="8" w:color="auto"/>
            </w:tcBorders>
          </w:tcPr>
          <w:p>
            <w:pPr>
              <w:spacing w:after="0"/>
              <w:rPr>
                <w:sz w:val="21"/>
                <w:szCs w:val="21"/>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6/21/21</w:t>
            </w:r>
          </w:p>
        </w:tc>
        <w:tc>
          <w:tcPr>
            <w:tcW w:w="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20" w:type="dxa"/>
            <w:vAlign w:val="bottom"/>
          </w:tcPr>
          <w:p>
            <w:pPr>
              <w:spacing w:after="0"/>
              <w:rPr>
                <w:sz w:val="21"/>
                <w:szCs w:val="21"/>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BHIP-C22-TM-01/WO-JP</w:t>
            </w: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JP</w:t>
            </w:r>
          </w:p>
        </w:tc>
        <w:tc>
          <w:tcPr>
            <w:tcW w:w="240" w:type="dxa"/>
            <w:vAlign w:val="bottom"/>
            <w:tcBorders>
              <w:right w:val="single" w:sz="8" w:color="auto"/>
            </w:tcBorders>
          </w:tcPr>
          <w:p>
            <w:pPr>
              <w:spacing w:after="0"/>
              <w:rPr>
                <w:sz w:val="21"/>
                <w:szCs w:val="21"/>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Madrid</w:t>
            </w:r>
          </w:p>
        </w:tc>
        <w:tc>
          <w:tcPr>
            <w:tcW w:w="1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5,9,42,44</w:t>
            </w:r>
          </w:p>
        </w:tc>
        <w:tc>
          <w:tcPr>
            <w:tcW w:w="220" w:type="dxa"/>
            <w:vAlign w:val="bottom"/>
            <w:tcBorders>
              <w:right w:val="single" w:sz="8" w:color="auto"/>
            </w:tcBorders>
          </w:tcPr>
          <w:p>
            <w:pPr>
              <w:spacing w:after="0"/>
              <w:rPr>
                <w:sz w:val="21"/>
                <w:szCs w:val="21"/>
                <w:color w:val="auto"/>
              </w:rPr>
            </w:pP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Registered</w:t>
            </w:r>
          </w:p>
        </w:tc>
        <w:tc>
          <w:tcPr>
            <w:tcW w:w="140" w:type="dxa"/>
            <w:vAlign w:val="bottom"/>
            <w:tcBorders>
              <w:right w:val="single" w:sz="8" w:color="auto"/>
            </w:tcBorders>
          </w:tcPr>
          <w:p>
            <w:pPr>
              <w:spacing w:after="0"/>
              <w:rPr>
                <w:sz w:val="21"/>
                <w:szCs w:val="21"/>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6/21/21</w:t>
            </w:r>
          </w:p>
        </w:tc>
        <w:tc>
          <w:tcPr>
            <w:tcW w:w="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20" w:type="dxa"/>
            <w:vAlign w:val="bottom"/>
          </w:tcPr>
          <w:p>
            <w:pPr>
              <w:spacing w:after="0"/>
              <w:rPr>
                <w:sz w:val="21"/>
                <w:szCs w:val="21"/>
                <w:color w:val="auto"/>
              </w:rPr>
            </w:pPr>
          </w:p>
        </w:tc>
      </w:tr>
      <w:tr>
        <w:trPr>
          <w:trHeight w:val="41"/>
        </w:trPr>
        <w:tc>
          <w:tcPr>
            <w:tcW w:w="31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BHIP-C22-TM-01/WO-KR</w:t>
            </w: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KR</w:t>
            </w:r>
          </w:p>
        </w:tc>
        <w:tc>
          <w:tcPr>
            <w:tcW w:w="240" w:type="dxa"/>
            <w:vAlign w:val="bottom"/>
            <w:tcBorders>
              <w:right w:val="single" w:sz="8" w:color="auto"/>
            </w:tcBorders>
          </w:tcPr>
          <w:p>
            <w:pPr>
              <w:spacing w:after="0"/>
              <w:rPr>
                <w:sz w:val="21"/>
                <w:szCs w:val="21"/>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Madrid</w:t>
            </w:r>
          </w:p>
        </w:tc>
        <w:tc>
          <w:tcPr>
            <w:tcW w:w="1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5,9,42,44</w:t>
            </w:r>
          </w:p>
        </w:tc>
        <w:tc>
          <w:tcPr>
            <w:tcW w:w="220" w:type="dxa"/>
            <w:vAlign w:val="bottom"/>
            <w:tcBorders>
              <w:right w:val="single" w:sz="8" w:color="auto"/>
            </w:tcBorders>
          </w:tcPr>
          <w:p>
            <w:pPr>
              <w:spacing w:after="0"/>
              <w:rPr>
                <w:sz w:val="21"/>
                <w:szCs w:val="21"/>
                <w:color w:val="auto"/>
              </w:rPr>
            </w:pP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Registered</w:t>
            </w:r>
          </w:p>
        </w:tc>
        <w:tc>
          <w:tcPr>
            <w:tcW w:w="140" w:type="dxa"/>
            <w:vAlign w:val="bottom"/>
            <w:tcBorders>
              <w:right w:val="single" w:sz="8" w:color="auto"/>
            </w:tcBorders>
          </w:tcPr>
          <w:p>
            <w:pPr>
              <w:spacing w:after="0"/>
              <w:rPr>
                <w:sz w:val="21"/>
                <w:szCs w:val="21"/>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6/21/21</w:t>
            </w:r>
          </w:p>
        </w:tc>
        <w:tc>
          <w:tcPr>
            <w:tcW w:w="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20" w:type="dxa"/>
            <w:vAlign w:val="bottom"/>
          </w:tcPr>
          <w:p>
            <w:pPr>
              <w:spacing w:after="0"/>
              <w:rPr>
                <w:sz w:val="21"/>
                <w:szCs w:val="21"/>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BHIP-C22-TM-01/WO-NO</w:t>
            </w: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NO</w:t>
            </w:r>
          </w:p>
        </w:tc>
        <w:tc>
          <w:tcPr>
            <w:tcW w:w="240" w:type="dxa"/>
            <w:vAlign w:val="bottom"/>
            <w:tcBorders>
              <w:right w:val="single" w:sz="8" w:color="auto"/>
            </w:tcBorders>
          </w:tcPr>
          <w:p>
            <w:pPr>
              <w:spacing w:after="0"/>
              <w:rPr>
                <w:sz w:val="21"/>
                <w:szCs w:val="21"/>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Madrid</w:t>
            </w:r>
          </w:p>
        </w:tc>
        <w:tc>
          <w:tcPr>
            <w:tcW w:w="1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5,9,42,44</w:t>
            </w:r>
          </w:p>
        </w:tc>
        <w:tc>
          <w:tcPr>
            <w:tcW w:w="220" w:type="dxa"/>
            <w:vAlign w:val="bottom"/>
            <w:tcBorders>
              <w:right w:val="single" w:sz="8" w:color="auto"/>
            </w:tcBorders>
          </w:tcPr>
          <w:p>
            <w:pPr>
              <w:spacing w:after="0"/>
              <w:rPr>
                <w:sz w:val="21"/>
                <w:szCs w:val="21"/>
                <w:color w:val="auto"/>
              </w:rPr>
            </w:pP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Registered</w:t>
            </w:r>
          </w:p>
        </w:tc>
        <w:tc>
          <w:tcPr>
            <w:tcW w:w="140" w:type="dxa"/>
            <w:vAlign w:val="bottom"/>
            <w:tcBorders>
              <w:right w:val="single" w:sz="8" w:color="auto"/>
            </w:tcBorders>
          </w:tcPr>
          <w:p>
            <w:pPr>
              <w:spacing w:after="0"/>
              <w:rPr>
                <w:sz w:val="21"/>
                <w:szCs w:val="21"/>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6/21/21</w:t>
            </w:r>
          </w:p>
        </w:tc>
        <w:tc>
          <w:tcPr>
            <w:tcW w:w="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20" w:type="dxa"/>
            <w:vAlign w:val="bottom"/>
          </w:tcPr>
          <w:p>
            <w:pPr>
              <w:spacing w:after="0"/>
              <w:rPr>
                <w:sz w:val="21"/>
                <w:szCs w:val="21"/>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09"/>
        </w:trPr>
        <w:tc>
          <w:tcPr>
            <w:tcW w:w="3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95"/>
        </w:trPr>
        <w:tc>
          <w:tcPr>
            <w:tcW w:w="3380" w:type="dxa"/>
            <w:vAlign w:val="bottom"/>
            <w:tcBorders>
              <w:left w:val="single" w:sz="8" w:color="auto"/>
              <w:bottom w:val="single" w:sz="8" w:color="DCDCDC"/>
              <w:right w:val="single" w:sz="8" w:color="DCDCDC"/>
            </w:tcBorders>
            <w:gridSpan w:val="2"/>
            <w:shd w:val="clear" w:color="auto" w:fill="DCDCDC"/>
          </w:tcPr>
          <w:p>
            <w:pPr>
              <w:ind w:left="80"/>
              <w:spacing w:after="0"/>
              <w:rPr>
                <w:sz w:val="20"/>
                <w:szCs w:val="20"/>
                <w:color w:val="auto"/>
              </w:rPr>
            </w:pPr>
            <w:r>
              <w:rPr>
                <w:rFonts w:ascii="Times New Roman" w:cs="Times New Roman" w:eastAsia="Times New Roman" w:hAnsi="Times New Roman"/>
                <w:sz w:val="18"/>
                <w:szCs w:val="18"/>
                <w:color w:val="auto"/>
              </w:rPr>
              <w:t>BiTAC (wordmark)</w:t>
            </w:r>
          </w:p>
        </w:tc>
        <w:tc>
          <w:tcPr>
            <w:tcW w:w="880" w:type="dxa"/>
            <w:vAlign w:val="bottom"/>
            <w:tcBorders>
              <w:bottom w:val="single" w:sz="8" w:color="DCDCDC"/>
              <w:right w:val="single" w:sz="8" w:color="DCDCDC"/>
            </w:tcBorders>
            <w:shd w:val="clear" w:color="auto" w:fill="DCDCDC"/>
          </w:tcPr>
          <w:p>
            <w:pPr>
              <w:spacing w:after="0"/>
              <w:rPr>
                <w:sz w:val="24"/>
                <w:szCs w:val="24"/>
                <w:color w:val="auto"/>
              </w:rPr>
            </w:pPr>
          </w:p>
        </w:tc>
        <w:tc>
          <w:tcPr>
            <w:tcW w:w="240" w:type="dxa"/>
            <w:vAlign w:val="bottom"/>
            <w:tcBorders>
              <w:bottom w:val="single" w:sz="8" w:color="DCDCDC"/>
              <w:right w:val="single" w:sz="8" w:color="DCDCDC"/>
            </w:tcBorders>
            <w:shd w:val="clear" w:color="auto" w:fill="DCDCDC"/>
          </w:tcPr>
          <w:p>
            <w:pPr>
              <w:spacing w:after="0"/>
              <w:rPr>
                <w:sz w:val="24"/>
                <w:szCs w:val="24"/>
                <w:color w:val="auto"/>
              </w:rPr>
            </w:pPr>
          </w:p>
        </w:tc>
        <w:tc>
          <w:tcPr>
            <w:tcW w:w="880" w:type="dxa"/>
            <w:vAlign w:val="bottom"/>
            <w:tcBorders>
              <w:bottom w:val="single" w:sz="8" w:color="DCDCDC"/>
              <w:right w:val="single" w:sz="8" w:color="DCDCDC"/>
            </w:tcBorders>
            <w:shd w:val="clear" w:color="auto" w:fill="DCDCDC"/>
          </w:tcPr>
          <w:p>
            <w:pPr>
              <w:spacing w:after="0"/>
              <w:rPr>
                <w:sz w:val="24"/>
                <w:szCs w:val="24"/>
                <w:color w:val="auto"/>
              </w:rPr>
            </w:pPr>
          </w:p>
        </w:tc>
        <w:tc>
          <w:tcPr>
            <w:tcW w:w="140" w:type="dxa"/>
            <w:vAlign w:val="bottom"/>
            <w:tcBorders>
              <w:bottom w:val="single" w:sz="8" w:color="DCDCDC"/>
            </w:tcBorders>
            <w:shd w:val="clear" w:color="auto" w:fill="DCDCDC"/>
          </w:tcPr>
          <w:p>
            <w:pPr>
              <w:spacing w:after="0"/>
              <w:rPr>
                <w:sz w:val="24"/>
                <w:szCs w:val="24"/>
                <w:color w:val="auto"/>
              </w:rPr>
            </w:pPr>
          </w:p>
        </w:tc>
        <w:tc>
          <w:tcPr>
            <w:tcW w:w="100" w:type="dxa"/>
            <w:vAlign w:val="bottom"/>
            <w:tcBorders>
              <w:bottom w:val="single" w:sz="8" w:color="DCDCDC"/>
              <w:right w:val="single" w:sz="8" w:color="DCDCDC"/>
            </w:tcBorders>
            <w:shd w:val="clear" w:color="auto" w:fill="DCDCDC"/>
          </w:tcPr>
          <w:p>
            <w:pPr>
              <w:spacing w:after="0"/>
              <w:rPr>
                <w:sz w:val="24"/>
                <w:szCs w:val="24"/>
                <w:color w:val="auto"/>
              </w:rPr>
            </w:pPr>
          </w:p>
        </w:tc>
        <w:tc>
          <w:tcPr>
            <w:tcW w:w="920" w:type="dxa"/>
            <w:vAlign w:val="bottom"/>
            <w:tcBorders>
              <w:bottom w:val="single" w:sz="8" w:color="DCDCDC"/>
              <w:right w:val="single" w:sz="8" w:color="DCDCDC"/>
            </w:tcBorders>
            <w:shd w:val="clear" w:color="auto" w:fill="DCDCDC"/>
          </w:tcPr>
          <w:p>
            <w:pPr>
              <w:spacing w:after="0"/>
              <w:rPr>
                <w:sz w:val="24"/>
                <w:szCs w:val="24"/>
                <w:color w:val="auto"/>
              </w:rPr>
            </w:pPr>
          </w:p>
        </w:tc>
        <w:tc>
          <w:tcPr>
            <w:tcW w:w="220" w:type="dxa"/>
            <w:vAlign w:val="bottom"/>
            <w:tcBorders>
              <w:bottom w:val="single" w:sz="8" w:color="DCDCDC"/>
              <w:right w:val="single" w:sz="8" w:color="DCDCDC"/>
            </w:tcBorders>
            <w:shd w:val="clear" w:color="auto" w:fill="DCDCDC"/>
          </w:tcPr>
          <w:p>
            <w:pPr>
              <w:spacing w:after="0"/>
              <w:rPr>
                <w:sz w:val="24"/>
                <w:szCs w:val="24"/>
                <w:color w:val="auto"/>
              </w:rPr>
            </w:pPr>
          </w:p>
        </w:tc>
        <w:tc>
          <w:tcPr>
            <w:tcW w:w="900" w:type="dxa"/>
            <w:vAlign w:val="bottom"/>
            <w:tcBorders>
              <w:bottom w:val="single" w:sz="8" w:color="DCDCDC"/>
              <w:right w:val="single" w:sz="8" w:color="DCDCDC"/>
            </w:tcBorders>
            <w:shd w:val="clear" w:color="auto" w:fill="DCDCDC"/>
          </w:tcPr>
          <w:p>
            <w:pPr>
              <w:spacing w:after="0"/>
              <w:rPr>
                <w:sz w:val="24"/>
                <w:szCs w:val="24"/>
                <w:color w:val="auto"/>
              </w:rPr>
            </w:pPr>
          </w:p>
        </w:tc>
        <w:tc>
          <w:tcPr>
            <w:tcW w:w="80" w:type="dxa"/>
            <w:vAlign w:val="bottom"/>
            <w:tcBorders>
              <w:bottom w:val="single" w:sz="8" w:color="DCDCDC"/>
            </w:tcBorders>
            <w:shd w:val="clear" w:color="auto" w:fill="DCDCDC"/>
          </w:tcPr>
          <w:p>
            <w:pPr>
              <w:spacing w:after="0"/>
              <w:rPr>
                <w:sz w:val="24"/>
                <w:szCs w:val="24"/>
                <w:color w:val="auto"/>
              </w:rPr>
            </w:pPr>
          </w:p>
        </w:tc>
        <w:tc>
          <w:tcPr>
            <w:tcW w:w="140" w:type="dxa"/>
            <w:vAlign w:val="bottom"/>
            <w:tcBorders>
              <w:bottom w:val="single" w:sz="8" w:color="DCDCDC"/>
              <w:right w:val="single" w:sz="8" w:color="DCDCDC"/>
            </w:tcBorders>
            <w:shd w:val="clear" w:color="auto" w:fill="DCDCDC"/>
          </w:tcPr>
          <w:p>
            <w:pPr>
              <w:spacing w:after="0"/>
              <w:rPr>
                <w:sz w:val="24"/>
                <w:szCs w:val="24"/>
                <w:color w:val="auto"/>
              </w:rPr>
            </w:pPr>
          </w:p>
        </w:tc>
        <w:tc>
          <w:tcPr>
            <w:tcW w:w="900" w:type="dxa"/>
            <w:vAlign w:val="bottom"/>
            <w:tcBorders>
              <w:bottom w:val="single" w:sz="8" w:color="DCDCDC"/>
              <w:right w:val="single" w:sz="8" w:color="DCDCDC"/>
            </w:tcBorders>
            <w:shd w:val="clear" w:color="auto" w:fill="DCDCDC"/>
          </w:tcPr>
          <w:p>
            <w:pPr>
              <w:spacing w:after="0"/>
              <w:rPr>
                <w:sz w:val="24"/>
                <w:szCs w:val="24"/>
                <w:color w:val="auto"/>
              </w:rPr>
            </w:pPr>
          </w:p>
        </w:tc>
        <w:tc>
          <w:tcPr>
            <w:tcW w:w="80" w:type="dxa"/>
            <w:vAlign w:val="bottom"/>
            <w:tcBorders>
              <w:bottom w:val="single" w:sz="8" w:color="DCDCDC"/>
            </w:tcBorders>
            <w:shd w:val="clear" w:color="auto" w:fill="DCDCDC"/>
          </w:tcPr>
          <w:p>
            <w:pPr>
              <w:spacing w:after="0"/>
              <w:rPr>
                <w:sz w:val="24"/>
                <w:szCs w:val="24"/>
                <w:color w:val="auto"/>
              </w:rPr>
            </w:pPr>
          </w:p>
        </w:tc>
        <w:tc>
          <w:tcPr>
            <w:tcW w:w="140" w:type="dxa"/>
            <w:vAlign w:val="bottom"/>
            <w:tcBorders>
              <w:bottom w:val="single" w:sz="8" w:color="DCDCDC"/>
              <w:right w:val="single" w:sz="8" w:color="DCDCDC"/>
            </w:tcBorders>
            <w:shd w:val="clear" w:color="auto" w:fill="DCDCDC"/>
          </w:tcPr>
          <w:p>
            <w:pPr>
              <w:spacing w:after="0"/>
              <w:rPr>
                <w:sz w:val="24"/>
                <w:szCs w:val="24"/>
                <w:color w:val="auto"/>
              </w:rPr>
            </w:pPr>
          </w:p>
        </w:tc>
        <w:tc>
          <w:tcPr>
            <w:tcW w:w="1120" w:type="dxa"/>
            <w:vAlign w:val="bottom"/>
            <w:tcBorders>
              <w:bottom w:val="single" w:sz="8" w:color="DCDCDC"/>
              <w:right w:val="single" w:sz="8" w:color="DCDCDC"/>
            </w:tcBorders>
            <w:shd w:val="clear" w:color="auto" w:fill="DCDCDC"/>
          </w:tcPr>
          <w:p>
            <w:pPr>
              <w:spacing w:after="0"/>
              <w:rPr>
                <w:sz w:val="24"/>
                <w:szCs w:val="24"/>
                <w:color w:val="auto"/>
              </w:rPr>
            </w:pPr>
          </w:p>
        </w:tc>
        <w:tc>
          <w:tcPr>
            <w:tcW w:w="1100" w:type="dxa"/>
            <w:vAlign w:val="bottom"/>
            <w:tcBorders>
              <w:bottom w:val="single" w:sz="8" w:color="DCDCDC"/>
            </w:tcBorders>
            <w:shd w:val="clear" w:color="auto" w:fill="DCDCDC"/>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r>
      <w:tr>
        <w:trPr>
          <w:trHeight w:val="296"/>
        </w:trPr>
        <w:tc>
          <w:tcPr>
            <w:tcW w:w="3140" w:type="dxa"/>
            <w:vAlign w:val="bottom"/>
            <w:tcBorders>
              <w:top w:val="single" w:sz="8" w:color="auto"/>
              <w:left w:val="single" w:sz="8" w:color="auto"/>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Record ID</w:t>
            </w:r>
          </w:p>
        </w:tc>
        <w:tc>
          <w:tcPr>
            <w:tcW w:w="240" w:type="dxa"/>
            <w:vAlign w:val="bottom"/>
            <w:tcBorders>
              <w:top w:val="single" w:sz="8" w:color="auto"/>
              <w:bottom w:val="single" w:sz="8" w:color="F2F2F2"/>
              <w:right w:val="single" w:sz="8" w:color="F2F2F2"/>
            </w:tcBorders>
            <w:shd w:val="clear" w:color="auto" w:fill="F2F2F2"/>
          </w:tcPr>
          <w:p>
            <w:pPr>
              <w:spacing w:after="0"/>
              <w:rPr>
                <w:sz w:val="24"/>
                <w:szCs w:val="24"/>
                <w:color w:val="auto"/>
              </w:rPr>
            </w:pPr>
          </w:p>
        </w:tc>
        <w:tc>
          <w:tcPr>
            <w:tcW w:w="880" w:type="dxa"/>
            <w:vAlign w:val="bottom"/>
            <w:tcBorders>
              <w:top w:val="single" w:sz="8" w:color="auto"/>
              <w:bottom w:val="single" w:sz="8" w:color="F2F2F2"/>
              <w:right w:val="single" w:sz="8" w:color="auto"/>
            </w:tcBorders>
            <w:shd w:val="clear" w:color="auto" w:fill="F2F2F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120" w:type="dxa"/>
            <w:vAlign w:val="bottom"/>
            <w:tcBorders>
              <w:top w:val="single" w:sz="8" w:color="auto"/>
              <w:bottom w:val="single" w:sz="8" w:color="F2F2F2"/>
              <w:right w:val="single" w:sz="8" w:color="auto"/>
            </w:tcBorders>
            <w:gridSpan w:val="2"/>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Convention</w:t>
            </w:r>
          </w:p>
        </w:tc>
        <w:tc>
          <w:tcPr>
            <w:tcW w:w="140" w:type="dxa"/>
            <w:vAlign w:val="bottom"/>
            <w:tcBorders>
              <w:top w:val="single" w:sz="8" w:color="auto"/>
              <w:bottom w:val="single" w:sz="8" w:color="F2F2F2"/>
            </w:tcBorders>
            <w:shd w:val="clear" w:color="auto" w:fill="F2F2F2"/>
          </w:tcPr>
          <w:p>
            <w:pPr>
              <w:spacing w:after="0"/>
              <w:rPr>
                <w:sz w:val="24"/>
                <w:szCs w:val="24"/>
                <w:color w:val="auto"/>
              </w:rPr>
            </w:pPr>
          </w:p>
        </w:tc>
        <w:tc>
          <w:tcPr>
            <w:tcW w:w="100" w:type="dxa"/>
            <w:vAlign w:val="bottom"/>
            <w:tcBorders>
              <w:top w:val="single" w:sz="8" w:color="auto"/>
              <w:bottom w:val="single" w:sz="8" w:color="F2F2F2"/>
              <w:right w:val="single" w:sz="8" w:color="F2F2F2"/>
            </w:tcBorders>
            <w:shd w:val="clear" w:color="auto" w:fill="F2F2F2"/>
          </w:tcPr>
          <w:p>
            <w:pPr>
              <w:spacing w:after="0"/>
              <w:rPr>
                <w:sz w:val="24"/>
                <w:szCs w:val="24"/>
                <w:color w:val="auto"/>
              </w:rPr>
            </w:pPr>
          </w:p>
        </w:tc>
        <w:tc>
          <w:tcPr>
            <w:tcW w:w="920" w:type="dxa"/>
            <w:vAlign w:val="bottom"/>
            <w:tcBorders>
              <w:top w:val="single" w:sz="8" w:color="auto"/>
              <w:bottom w:val="single" w:sz="8" w:color="F2F2F2"/>
              <w:right w:val="single" w:sz="8" w:color="auto"/>
            </w:tcBorders>
            <w:shd w:val="clear" w:color="auto" w:fill="F2F2F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Classes</w:t>
            </w:r>
          </w:p>
        </w:tc>
        <w:tc>
          <w:tcPr>
            <w:tcW w:w="220" w:type="dxa"/>
            <w:vAlign w:val="bottom"/>
            <w:tcBorders>
              <w:top w:val="single" w:sz="8" w:color="auto"/>
              <w:bottom w:val="single" w:sz="8" w:color="F2F2F2"/>
              <w:right w:val="single" w:sz="8" w:color="F2F2F2"/>
            </w:tcBorders>
            <w:shd w:val="clear" w:color="auto" w:fill="F2F2F2"/>
          </w:tcPr>
          <w:p>
            <w:pPr>
              <w:spacing w:after="0"/>
              <w:rPr>
                <w:sz w:val="24"/>
                <w:szCs w:val="24"/>
                <w:color w:val="auto"/>
              </w:rPr>
            </w:pPr>
          </w:p>
        </w:tc>
        <w:tc>
          <w:tcPr>
            <w:tcW w:w="900" w:type="dxa"/>
            <w:vAlign w:val="bottom"/>
            <w:tcBorders>
              <w:top w:val="single" w:sz="8" w:color="auto"/>
              <w:bottom w:val="single" w:sz="8" w:color="F2F2F2"/>
              <w:right w:val="single" w:sz="8" w:color="auto"/>
            </w:tcBorders>
            <w:shd w:val="clear" w:color="auto" w:fill="F2F2F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80" w:type="dxa"/>
            <w:vAlign w:val="bottom"/>
            <w:tcBorders>
              <w:top w:val="single" w:sz="8" w:color="auto"/>
              <w:bottom w:val="single" w:sz="8" w:color="F2F2F2"/>
            </w:tcBorders>
            <w:shd w:val="clear" w:color="auto" w:fill="F2F2F2"/>
          </w:tcPr>
          <w:p>
            <w:pPr>
              <w:spacing w:after="0"/>
              <w:rPr>
                <w:sz w:val="24"/>
                <w:szCs w:val="24"/>
                <w:color w:val="auto"/>
              </w:rPr>
            </w:pPr>
          </w:p>
        </w:tc>
        <w:tc>
          <w:tcPr>
            <w:tcW w:w="1040" w:type="dxa"/>
            <w:vAlign w:val="bottom"/>
            <w:tcBorders>
              <w:top w:val="single" w:sz="8" w:color="auto"/>
              <w:bottom w:val="single" w:sz="8" w:color="F2F2F2"/>
              <w:right w:val="single" w:sz="8" w:color="auto"/>
            </w:tcBorders>
            <w:gridSpan w:val="2"/>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Appl. Date</w:t>
            </w:r>
          </w:p>
        </w:tc>
        <w:tc>
          <w:tcPr>
            <w:tcW w:w="80" w:type="dxa"/>
            <w:vAlign w:val="bottom"/>
            <w:tcBorders>
              <w:top w:val="single" w:sz="8" w:color="auto"/>
              <w:bottom w:val="single" w:sz="8" w:color="F2F2F2"/>
            </w:tcBorders>
            <w:shd w:val="clear" w:color="auto" w:fill="F2F2F2"/>
          </w:tcPr>
          <w:p>
            <w:pPr>
              <w:spacing w:after="0"/>
              <w:rPr>
                <w:sz w:val="24"/>
                <w:szCs w:val="24"/>
                <w:color w:val="auto"/>
              </w:rPr>
            </w:pPr>
          </w:p>
        </w:tc>
        <w:tc>
          <w:tcPr>
            <w:tcW w:w="1260" w:type="dxa"/>
            <w:vAlign w:val="bottom"/>
            <w:tcBorders>
              <w:top w:val="single" w:sz="8" w:color="auto"/>
              <w:bottom w:val="single" w:sz="8" w:color="F2F2F2"/>
              <w:right w:val="single" w:sz="8" w:color="auto"/>
            </w:tcBorders>
            <w:gridSpan w:val="2"/>
            <w:shd w:val="clear" w:color="auto" w:fill="F2F2F2"/>
          </w:tcPr>
          <w:p>
            <w:pPr>
              <w:spacing w:after="0"/>
              <w:rPr>
                <w:sz w:val="20"/>
                <w:szCs w:val="20"/>
                <w:color w:val="auto"/>
              </w:rPr>
            </w:pPr>
            <w:r>
              <w:rPr>
                <w:rFonts w:ascii="Times New Roman" w:cs="Times New Roman" w:eastAsia="Times New Roman" w:hAnsi="Times New Roman"/>
                <w:sz w:val="18"/>
                <w:szCs w:val="18"/>
                <w:b w:val="1"/>
                <w:bCs w:val="1"/>
                <w:color w:val="auto"/>
              </w:rPr>
              <w:t>Appl. Number</w:t>
            </w:r>
          </w:p>
        </w:tc>
        <w:tc>
          <w:tcPr>
            <w:tcW w:w="1100" w:type="dxa"/>
            <w:vAlign w:val="bottom"/>
            <w:tcBorders>
              <w:top w:val="single" w:sz="8" w:color="auto"/>
              <w:bottom w:val="single" w:sz="8" w:color="F2F2F2"/>
            </w:tcBorders>
            <w:shd w:val="clear" w:color="auto" w:fill="F2F2F2"/>
          </w:tcPr>
          <w:p>
            <w:pPr>
              <w:spacing w:after="0"/>
              <w:rPr>
                <w:sz w:val="20"/>
                <w:szCs w:val="20"/>
                <w:color w:val="auto"/>
              </w:rPr>
            </w:pPr>
            <w:r>
              <w:rPr>
                <w:rFonts w:ascii="Times New Roman" w:cs="Times New Roman" w:eastAsia="Times New Roman" w:hAnsi="Times New Roman"/>
                <w:sz w:val="18"/>
                <w:szCs w:val="18"/>
                <w:b w:val="1"/>
                <w:bCs w:val="1"/>
                <w:color w:val="auto"/>
              </w:rPr>
              <w:t>Reg. Number</w:t>
            </w:r>
          </w:p>
        </w:tc>
        <w:tc>
          <w:tcPr>
            <w:tcW w:w="20" w:type="dxa"/>
            <w:vAlign w:val="bottom"/>
            <w:tcBorders>
              <w:top w:val="single" w:sz="8" w:color="auto"/>
              <w:bottom w:val="single" w:sz="8" w:color="auto"/>
            </w:tcBorders>
            <w:shd w:val="clear" w:color="auto" w:fill="000000"/>
          </w:tcPr>
          <w:p>
            <w:pPr>
              <w:spacing w:after="0"/>
              <w:rPr>
                <w:sz w:val="24"/>
                <w:szCs w:val="24"/>
                <w:color w:val="auto"/>
              </w:rPr>
            </w:pPr>
          </w:p>
        </w:tc>
      </w:tr>
      <w:tr>
        <w:trPr>
          <w:trHeight w:val="250"/>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BHIP-C22-TM-02/DE</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DE</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National</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1,5,9,42,44</w:t>
            </w: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0"/>
              </w:rPr>
              <w:t>Registered</w:t>
            </w:r>
          </w:p>
        </w:tc>
        <w:tc>
          <w:tcPr>
            <w:tcW w:w="80" w:type="dxa"/>
            <w:vAlign w:val="bottom"/>
            <w:tcBorders>
              <w:top w:val="single" w:sz="8" w:color="auto"/>
            </w:tcBorders>
          </w:tcPr>
          <w:p>
            <w:pPr>
              <w:spacing w:after="0"/>
              <w:rPr>
                <w:sz w:val="21"/>
                <w:szCs w:val="21"/>
                <w:color w:val="auto"/>
              </w:rPr>
            </w:pPr>
          </w:p>
        </w:tc>
        <w:tc>
          <w:tcPr>
            <w:tcW w:w="1040" w:type="dxa"/>
            <w:vAlign w:val="bottom"/>
            <w:tcBorders>
              <w:top w:val="single" w:sz="8" w:color="auto"/>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5/27/24</w:t>
            </w:r>
          </w:p>
        </w:tc>
        <w:tc>
          <w:tcPr>
            <w:tcW w:w="1340" w:type="dxa"/>
            <w:vAlign w:val="bottom"/>
            <w:tcBorders>
              <w:top w:val="single" w:sz="8" w:color="auto"/>
              <w:right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3020241100725</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302024110072</w:t>
            </w:r>
          </w:p>
        </w:tc>
        <w:tc>
          <w:tcPr>
            <w:tcW w:w="20" w:type="dxa"/>
            <w:vAlign w:val="bottom"/>
            <w:tcBorders>
              <w:top w:val="single" w:sz="8" w:color="auto"/>
            </w:tcBorders>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BHIP-C22-TM-02/US</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National</w:t>
            </w:r>
          </w:p>
        </w:tc>
        <w:tc>
          <w:tcPr>
            <w:tcW w:w="11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1,5,9,10,42,44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0"/>
              </w:rPr>
              <w:t>Registered</w:t>
            </w:r>
          </w:p>
        </w:tc>
        <w:tc>
          <w:tcPr>
            <w:tcW w:w="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5/27/24</w:t>
            </w:r>
          </w:p>
        </w:tc>
        <w:tc>
          <w:tcPr>
            <w:tcW w:w="8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9"/>
              </w:rPr>
              <w:t>98569862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728793</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BHIP-C22-TM-02/WO</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WIPO</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IR</w:t>
            </w:r>
          </w:p>
        </w:tc>
        <w:tc>
          <w:tcPr>
            <w:tcW w:w="14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5,9,42,44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0"/>
              </w:rPr>
              <w:t>Registered</w:t>
            </w:r>
          </w:p>
        </w:tc>
        <w:tc>
          <w:tcPr>
            <w:tcW w:w="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11/26/24</w:t>
            </w:r>
          </w:p>
        </w:tc>
        <w:tc>
          <w:tcPr>
            <w:tcW w:w="8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1845572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BHIP-C22-TM-02/WO-CN</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5"/>
              </w:rPr>
              <w:t>CN</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Madrid</w:t>
            </w:r>
          </w:p>
        </w:tc>
        <w:tc>
          <w:tcPr>
            <w:tcW w:w="14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5,9,42,44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0"/>
              </w:rPr>
              <w:t>Registered</w:t>
            </w:r>
          </w:p>
        </w:tc>
        <w:tc>
          <w:tcPr>
            <w:tcW w:w="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11/26/24</w:t>
            </w:r>
          </w:p>
        </w:tc>
        <w:tc>
          <w:tcPr>
            <w:tcW w:w="8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1845572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BHIP-C22-TM-02/WO-EM</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EU</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Madrid</w:t>
            </w:r>
          </w:p>
        </w:tc>
        <w:tc>
          <w:tcPr>
            <w:tcW w:w="14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5,9,42,44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0"/>
              </w:rPr>
              <w:t>Registered</w:t>
            </w:r>
          </w:p>
        </w:tc>
        <w:tc>
          <w:tcPr>
            <w:tcW w:w="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11/26/24</w:t>
            </w:r>
          </w:p>
        </w:tc>
        <w:tc>
          <w:tcPr>
            <w:tcW w:w="8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1845572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018359289</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BHIP-C22-TM-02/WO-GB</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5"/>
              </w:rPr>
              <w:t>GB</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Madrid</w:t>
            </w:r>
          </w:p>
        </w:tc>
        <w:tc>
          <w:tcPr>
            <w:tcW w:w="14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5,9,42,44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0"/>
              </w:rPr>
              <w:t>Registered</w:t>
            </w:r>
          </w:p>
        </w:tc>
        <w:tc>
          <w:tcPr>
            <w:tcW w:w="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11/26/24</w:t>
            </w:r>
          </w:p>
        </w:tc>
        <w:tc>
          <w:tcPr>
            <w:tcW w:w="8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1845572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BHIP-C22-TM-02/WO-IN</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IN</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Madrid</w:t>
            </w:r>
          </w:p>
        </w:tc>
        <w:tc>
          <w:tcPr>
            <w:tcW w:w="14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5,9,42,44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Pending</w:t>
            </w:r>
          </w:p>
        </w:tc>
        <w:tc>
          <w:tcPr>
            <w:tcW w:w="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11/26/24</w:t>
            </w:r>
          </w:p>
        </w:tc>
        <w:tc>
          <w:tcPr>
            <w:tcW w:w="8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1845572</w:t>
            </w:r>
          </w:p>
        </w:tc>
        <w:tc>
          <w:tcPr>
            <w:tcW w:w="11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BHIP-C22-TM-02/WO-JP</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3"/>
              </w:rPr>
              <w:t>JP</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Madrid</w:t>
            </w:r>
          </w:p>
        </w:tc>
        <w:tc>
          <w:tcPr>
            <w:tcW w:w="14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5,9,42,44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Pending</w:t>
            </w:r>
          </w:p>
        </w:tc>
        <w:tc>
          <w:tcPr>
            <w:tcW w:w="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11/26/24</w:t>
            </w:r>
          </w:p>
        </w:tc>
        <w:tc>
          <w:tcPr>
            <w:tcW w:w="8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1845572</w:t>
            </w:r>
          </w:p>
        </w:tc>
        <w:tc>
          <w:tcPr>
            <w:tcW w:w="11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BHIP-C22-TM-02/WO-KR</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5"/>
              </w:rPr>
              <w:t>KR</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Madrid</w:t>
            </w:r>
          </w:p>
        </w:tc>
        <w:tc>
          <w:tcPr>
            <w:tcW w:w="14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5,9,42,44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Pending</w:t>
            </w:r>
          </w:p>
        </w:tc>
        <w:tc>
          <w:tcPr>
            <w:tcW w:w="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11/26/24</w:t>
            </w:r>
          </w:p>
        </w:tc>
        <w:tc>
          <w:tcPr>
            <w:tcW w:w="8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1845572</w:t>
            </w:r>
          </w:p>
        </w:tc>
        <w:tc>
          <w:tcPr>
            <w:tcW w:w="11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BHIP-C22-TM-02/WO-NO</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NO</w:t>
            </w:r>
          </w:p>
        </w:tc>
        <w:tc>
          <w:tcPr>
            <w:tcW w:w="240" w:type="dxa"/>
            <w:vAlign w:val="bottom"/>
          </w:tcPr>
          <w:p>
            <w:pPr>
              <w:spacing w:after="0"/>
              <w:rPr>
                <w:sz w:val="21"/>
                <w:szCs w:val="21"/>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Madrid</w:t>
            </w:r>
          </w:p>
        </w:tc>
        <w:tc>
          <w:tcPr>
            <w:tcW w:w="14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5,9,42,44</w:t>
            </w:r>
          </w:p>
        </w:tc>
        <w:tc>
          <w:tcPr>
            <w:tcW w:w="220" w:type="dxa"/>
            <w:vAlign w:val="bottom"/>
          </w:tcPr>
          <w:p>
            <w:pPr>
              <w:spacing w:after="0"/>
              <w:rPr>
                <w:sz w:val="21"/>
                <w:szCs w:val="21"/>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0"/>
              </w:rPr>
              <w:t>Registered</w:t>
            </w:r>
          </w:p>
        </w:tc>
        <w:tc>
          <w:tcPr>
            <w:tcW w:w="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11/26/24</w:t>
            </w:r>
          </w:p>
        </w:tc>
        <w:tc>
          <w:tcPr>
            <w:tcW w:w="8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1845572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554"/>
        </w:trPr>
        <w:tc>
          <w:tcPr>
            <w:tcW w:w="3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w w:val="99"/>
              </w:rPr>
              <w:t>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own or hold any registered copyrights.</w:t>
      </w:r>
    </w:p>
    <w:p>
      <w:pPr>
        <w:spacing w:after="0" w:line="221" w:lineRule="exact"/>
        <w:rPr>
          <w:sz w:val="20"/>
          <w:szCs w:val="20"/>
          <w:color w:val="auto"/>
        </w:rPr>
      </w:pPr>
    </w:p>
    <w:p>
      <w:pPr>
        <w:ind w:left="660" w:right="6980" w:hanging="652"/>
        <w:spacing w:after="0" w:line="532" w:lineRule="auto"/>
        <w:tabs>
          <w:tab w:leader="none" w:pos="66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All Patent, Trademark and Copyright Licenses </w:t>
      </w:r>
      <w:r>
        <w:rPr>
          <w:rFonts w:ascii="Times New Roman" w:cs="Times New Roman" w:eastAsia="Times New Roman" w:hAnsi="Times New Roman"/>
          <w:sz w:val="17"/>
          <w:szCs w:val="17"/>
          <w:color w:val="auto"/>
        </w:rPr>
        <w:t>Patent, Trademark and Copyright Licenses</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summarizes the Company’s material patent, trademark, and copyright license agreements:</w:t>
      </w:r>
    </w:p>
    <w:p>
      <w:pPr>
        <w:spacing w:after="0" w:line="200" w:lineRule="exact"/>
        <w:rPr>
          <w:rFonts w:ascii="Times New Roman" w:cs="Times New Roman" w:eastAsia="Times New Roman" w:hAnsi="Times New Roman"/>
          <w:sz w:val="17"/>
          <w:szCs w:val="17"/>
          <w:b w:val="1"/>
          <w:bCs w:val="1"/>
          <w:color w:val="auto"/>
        </w:rPr>
      </w:pPr>
    </w:p>
    <w:p>
      <w:pPr>
        <w:spacing w:after="0" w:line="349" w:lineRule="exact"/>
        <w:rPr>
          <w:rFonts w:ascii="Times New Roman" w:cs="Times New Roman" w:eastAsia="Times New Roman" w:hAnsi="Times New Roman"/>
          <w:sz w:val="17"/>
          <w:szCs w:val="17"/>
          <w:b w:val="1"/>
          <w:bCs w:val="1"/>
          <w:color w:val="auto"/>
        </w:rPr>
      </w:pPr>
    </w:p>
    <w:p>
      <w:pPr>
        <w:jc w:val="both"/>
        <w:ind w:left="760" w:right="120" w:hanging="320"/>
        <w:spacing w:after="0" w:line="266"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Know-How, and Software License Agreement, dated December 13, 2017, by and among EMBL Enterprise Management Technology Transfer GmbH (“EMBLEM”), Velabs Therapeutics GmbH (now merged into Veraxa Biotech GmbH), European Molecular Biology Laboratory (“EMBL”), and Dr. Christoph Merten.</w:t>
      </w:r>
    </w:p>
    <w:p>
      <w:pPr>
        <w:spacing w:after="0" w:line="175" w:lineRule="exact"/>
        <w:rPr>
          <w:rFonts w:ascii="Times New Roman" w:cs="Times New Roman" w:eastAsia="Times New Roman" w:hAnsi="Times New Roman"/>
          <w:sz w:val="18"/>
          <w:szCs w:val="18"/>
          <w:color w:val="auto"/>
        </w:rPr>
      </w:pPr>
    </w:p>
    <w:p>
      <w:pPr>
        <w:ind w:left="760" w:right="140" w:hanging="320"/>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and Know-How License Agreement (ARAXA), dated 2019, by and among EMBLEM, ARAXA Biosciences GmbH (merged into Veraxa Biotech GmbH via merger with Velabs Therapeutics GmbH), EMBL, and Dr. Edward Lemke.</w:t>
      </w:r>
    </w:p>
    <w:p>
      <w:pPr>
        <w:spacing w:after="0" w:line="161" w:lineRule="exact"/>
        <w:rPr>
          <w:rFonts w:ascii="Times New Roman" w:cs="Times New Roman" w:eastAsia="Times New Roman" w:hAnsi="Times New Roman"/>
          <w:sz w:val="18"/>
          <w:szCs w:val="18"/>
          <w:color w:val="auto"/>
        </w:rPr>
      </w:pPr>
    </w:p>
    <w:p>
      <w:pPr>
        <w:ind w:left="760" w:right="140" w:hanging="320"/>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Agreement (Cherry Biolabs – Patent License), dated March 30, 2024, by and between Veraxa Biotech GmbH and Cherry Biolabs GmbH.</w:t>
      </w:r>
    </w:p>
    <w:p>
      <w:pPr>
        <w:spacing w:after="0" w:line="161" w:lineRule="exact"/>
        <w:rPr>
          <w:rFonts w:ascii="Times New Roman" w:cs="Times New Roman" w:eastAsia="Times New Roman" w:hAnsi="Times New Roman"/>
          <w:sz w:val="18"/>
          <w:szCs w:val="18"/>
          <w:color w:val="auto"/>
        </w:rPr>
      </w:pPr>
    </w:p>
    <w:p>
      <w:pPr>
        <w:ind w:left="760" w:right="140" w:hanging="320"/>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Collaboration and License Option Agreement, dated December 18, 2019, by and between Velabs Therapeutics GmbH and Ares Trading SA (Merck).</w:t>
      </w:r>
    </w:p>
    <w:p>
      <w:pPr>
        <w:spacing w:after="0" w:line="161" w:lineRule="exact"/>
        <w:rPr>
          <w:rFonts w:ascii="Times New Roman" w:cs="Times New Roman" w:eastAsia="Times New Roman" w:hAnsi="Times New Roman"/>
          <w:sz w:val="18"/>
          <w:szCs w:val="18"/>
          <w:color w:val="auto"/>
        </w:rPr>
      </w:pPr>
    </w:p>
    <w:p>
      <w:pPr>
        <w:ind w:left="760" w:right="120" w:hanging="320"/>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Framework Agreement (Lizenz-Rahmenvertrag), dated May 23, 2019 (as amended December 9, 2019), by and between Velabs Therapeutics GmbH and Alytas Therapeutics GmbH.</w:t>
      </w:r>
    </w:p>
    <w:p>
      <w:pPr>
        <w:spacing w:after="0" w:line="161" w:lineRule="exact"/>
        <w:rPr>
          <w:rFonts w:ascii="Times New Roman" w:cs="Times New Roman" w:eastAsia="Times New Roman" w:hAnsi="Times New Roman"/>
          <w:sz w:val="18"/>
          <w:szCs w:val="18"/>
          <w:color w:val="auto"/>
        </w:rPr>
      </w:pPr>
    </w:p>
    <w:p>
      <w:pPr>
        <w:ind w:left="760" w:right="120" w:hanging="320"/>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License Agreement (Service- und Lizenzvertrag), dated August 6, 2021, by and between Veraxa Biotech GmbH and Ix Therapeutics GmbH.</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Transfer and License Agreement, dated January 25, 2021, by and between Velabs Therapeutics GmbH and Axxam s.p.A.</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License and Supply Agreement, dated September 25, 2020, by and between Velabs Therapeutics GmbH and Suricube GmbH.</w:t>
      </w:r>
    </w:p>
    <w:p>
      <w:pPr>
        <w:spacing w:after="0" w:line="225" w:lineRule="exact"/>
        <w:rPr>
          <w:rFonts w:ascii="Times New Roman" w:cs="Times New Roman" w:eastAsia="Times New Roman" w:hAnsi="Times New Roman"/>
          <w:sz w:val="18"/>
          <w:szCs w:val="18"/>
          <w:color w:val="auto"/>
        </w:rPr>
      </w:pPr>
    </w:p>
    <w:p>
      <w:pPr>
        <w:ind w:left="760" w:right="120" w:hanging="320"/>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License Agreement (Quadira Biosciences), dated May 2021 (as amended November 2023), by and between Veraxa Biotech GmbH and Quadira Biosciences AG.</w:t>
      </w:r>
    </w:p>
    <w:p>
      <w:pPr>
        <w:spacing w:after="0" w:line="161" w:lineRule="exact"/>
        <w:rPr>
          <w:rFonts w:ascii="Times New Roman" w:cs="Times New Roman" w:eastAsia="Times New Roman" w:hAnsi="Times New Roman"/>
          <w:sz w:val="18"/>
          <w:szCs w:val="18"/>
          <w:color w:val="auto"/>
        </w:rPr>
      </w:pPr>
    </w:p>
    <w:p>
      <w:pPr>
        <w:ind w:left="760" w:right="120" w:hanging="320"/>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Framework Agreement (EMBLEM), dated December 20, 2017 (as amended January 1, 2020, July 1, 2021, and September 15, 2022), by and between EMBL Enterprise Management Technology Transfer GmbH (EMBLEM) and Veraxa Biotech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-4070350</wp:posOffset>
            </wp:positionV>
            <wp:extent cx="7127875" cy="425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27875" cy="42557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consummation of the Business Combination, SPAC merged with and into Merger Sub, with Merger Sub as the surviving company of the Initial Merger and a wholly owned Subsidiary of PubCo. Following the Initial Merger, the Contribution Agent contributed the Merger Sub Shares to PubCo as an equity contribution into the capital contribution reserves (Zuschuss in die Kapitaleinlagereserven). Following the consummation of the Initial Merger and the Contribution, Merger Sub distributed all of its assets and liabilities to PubCo as liquidating distributions and was dissolved under the Laws of the Cayman Islands. Not earlier than twenty-four hours following the Initial Merger, Veraxa Biotech AG merged with and into PubCo, with PubCo as the surviving company of the Acquisition Merger, and the separate corporate existence of Veraxa Biotech AG ceased to exist. The organizational structure of the Company after the Mergers is included in the section entitled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 of the Prospectus and is incorporated herein by reference.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Information regarding the facilities of Veraxa is included in the Prospectus in the section entitled “</w:t>
      </w:r>
      <w:r>
        <w:rPr>
          <w:rFonts w:ascii="Times New Roman" w:cs="Times New Roman" w:eastAsia="Times New Roman" w:hAnsi="Times New Roman"/>
          <w:sz w:val="18"/>
          <w:szCs w:val="18"/>
          <w:i w:val="1"/>
          <w:iCs w:val="1"/>
          <w:color w:val="auto"/>
        </w:rPr>
        <w:t>Information About the Company—Facilities</w:t>
      </w:r>
      <w:r>
        <w:rPr>
          <w:rFonts w:ascii="Times New Roman" w:cs="Times New Roman" w:eastAsia="Times New Roman" w:hAnsi="Times New Roman"/>
          <w:sz w:val="18"/>
          <w:szCs w:val="18"/>
          <w:color w:val="auto"/>
        </w:rPr>
        <w:t>,” and is incorporated herein by reference.</w:t>
      </w:r>
    </w:p>
    <w:p>
      <w:pPr>
        <w:spacing w:after="0" w:line="15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and as a result of the Business Combination, the Company conducts its business directly and through its wholly owned operating subsidiary, VERAXA Biotech GmbH, based in Heidelberg, Germany. After the Acquisition Merger, Veraxa Biotech AG merged with and into PubCo and ceased to exist.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discussion and analysis of the financial condition and results of operations of Veraxa for the years ended December 31, 2025 and 2024 is set forth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VERAXA</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“its”, “Veraxa”, or the “Company” refer to Veraxa Biotech AG and its subsidiaries prior to the consummation of the Business Combination and, after the consummation of the Business Combination, New Veraxa and its subsidiaries.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the financial condition and results of operations of Veraxa includes information that Veraxa’s management believes is relevant to an assessment and understanding of Veraxa’s consolidated results of operations and financial condition. You should read the following discussion and analysis of our financial condition and results of operations together with the audited consolidated financial statements for the years ended December 31, 2025 and 2024, and, together with the respective notes thereto, included elsewhere in this report. This discussion and analysis should also be read together with the unaudited pro forma financial information as of December 31, 2025 in the section entitled “Unaudited Pro Forma Condensed Combined Financial Information”. This discussion contains forward-looking statements reflecting current plans, estimates and assumptions concerning events and financial trends that may affect future operating results or financial position, which involve risks and uncertainties.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Veraxa Biotech AG (the “Company”),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goal is to establish a sustainable clinical pipeline of novel and differentiated oncology programs geared towards achieving superior efficacy while minimizing the burden of side effects for patients. With our expertise and capabilities, we develop novel antibody-based drug platforms for the treatment of cancer.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Veraxa History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(“AML”).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22, 2025, Voyager Acquisition Corp., a Cayman Islands exempted company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entered into a Business Combination Agreement (as it may be amended,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with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Oliver Baumann, an individual, solely in his capacity as representative for the Company Shareholders. Pursuant to the terms of the Business Combination Agreement, Voyager Acquisition Sponsor Holdco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will form a public limited company organized under the Laws of Switzerland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and PubCo will form an exempted company limited by shares incorporated under the laws of the Cayman Islands, to be a direct wholly owned subsidiary of PubCo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PubCo each, individually, an “</w:t>
      </w:r>
      <w:r>
        <w:rPr>
          <w:rFonts w:ascii="Times New Roman" w:cs="Times New Roman" w:eastAsia="Times New Roman" w:hAnsi="Times New Roman"/>
          <w:sz w:val="18"/>
          <w:szCs w:val="18"/>
          <w:u w:val="single" w:color="auto"/>
          <w:color w:val="auto"/>
        </w:rPr>
        <w:t>Acquisition Entity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w:t>
      </w:r>
      <w:r>
        <w:rPr>
          <w:rFonts w:ascii="Times New Roman" w:cs="Times New Roman" w:eastAsia="Times New Roman" w:hAnsi="Times New Roman"/>
          <w:sz w:val="18"/>
          <w:szCs w:val="18"/>
          <w:u w:val="single" w:color="auto"/>
          <w:color w:val="auto"/>
        </w:rPr>
        <w:t>Initial Merger</w:t>
      </w:r>
      <w:r>
        <w:rPr>
          <w:rFonts w:ascii="Times New Roman" w:cs="Times New Roman" w:eastAsia="Times New Roman" w:hAnsi="Times New Roman"/>
          <w:sz w:val="18"/>
          <w:szCs w:val="18"/>
          <w:color w:val="auto"/>
        </w:rPr>
        <w:t>”), (ii) as soon as practicable, but not less than twenty-four hours following the completion of the Initial Merger, the Company will merge with and into PubCo, with PubCo as the surviving entity in the merger (the “</w:t>
      </w:r>
      <w:r>
        <w:rPr>
          <w:rFonts w:ascii="Times New Roman" w:cs="Times New Roman" w:eastAsia="Times New Roman" w:hAnsi="Times New Roman"/>
          <w:sz w:val="18"/>
          <w:szCs w:val="18"/>
          <w:u w:val="single" w:color="auto"/>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are hereinafter referred to as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The Business Combination was consummated on June 10, 2026.</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 of operations for the years ended December 31, 2025 and 2024, and the dollar and percentage change between the two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(CHF)</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(7,965)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(7,965)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(46,922,232)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(17,095,133)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(29,827,099)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(10,264,123)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(6,310,608)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(3,953,515)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(6,948,456)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(3,635,658)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(3,312,798)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(2,097,225)</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(1,876,482)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(220,743)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(66,216,575)</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(28,917,881)</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(37,298,694)</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(799,168)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(474,538)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(324,630)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Currency exchange gain (loss)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(41,545)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624,154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(665,699)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39,436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(67,006,593)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(28,753,745)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(38,252,848)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392,603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620,774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(228,171)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(66,613,990)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(28,132,971)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(38,481,019)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554"/>
        </w:trPr>
        <w:tc>
          <w:tcPr>
            <w:tcW w:w="4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generated revenue from projects for customers relating to the development, marketing and screening of antibodies. During the year ended December 31, 2025, total revenue was CHF 23,426 compared to nil in the prior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goods sold for the period was CHF 7,965 compared to nil in the prior year. The principal drivers include consists primarily of personnel expenses for scientific staff performing development and data analysis.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G&amp;A expenses by nature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 (excluding SBC)</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1,011,104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685,163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(SBC)</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40,202,216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12,947,193</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27,255,023</w:t>
            </w:r>
          </w:p>
        </w:tc>
        <w:tc>
          <w:tcPr>
            <w:tcW w:w="80" w:type="dxa"/>
            <w:vAlign w:val="bottom"/>
          </w:tcPr>
          <w:p>
            <w:pPr>
              <w:spacing w:after="0"/>
              <w:rPr>
                <w:sz w:val="18"/>
                <w:szCs w:val="18"/>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5,708,912</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3,462,777</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2,246,135</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G&amp;A expenses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46,922,232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17,095,133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29,827,099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CHF 29.8 million. The increase is mainly attributable to an increase in our stock-based compensation expenses of approximately CHF 27.3 million in 2025, for an increase in the fair value of the awards driven primarily by the increase in the stock price input to the valuation model. For the increase, CHF 14.1 million is due to the ESOP which is all taken immediately and CHF 26.2 million is due to the VSOP which is over time. Also contributing to the increase was an increase in our professional consulting and accounting fees of CHF 1.8 million, as well as a CHF 0.3 million increase in salaries.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personnel-related costs, including salaries, benefits, and stock-based compensation for employees engaged in R&amp;D activities; costs associated with external consultants and contractors; expenses for design and engineering tools; and other direct and indirect costs incurred in support of our product development efforts. All R&amp;D costs are expensed as incurred.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R&amp;D expenses by nature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 (excluding SBC)</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2,834,727</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2,718,483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(SBC)</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5,514,309</w:t>
            </w:r>
          </w:p>
        </w:tc>
        <w:tc>
          <w:tcPr>
            <w:tcW w:w="3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2,062,716</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3,451,593</w:t>
            </w:r>
          </w:p>
        </w:tc>
        <w:tc>
          <w:tcPr>
            <w:tcW w:w="80" w:type="dxa"/>
            <w:vAlign w:val="bottom"/>
          </w:tcPr>
          <w:p>
            <w:pPr>
              <w:spacing w:after="0"/>
              <w:rPr>
                <w:sz w:val="18"/>
                <w:szCs w:val="18"/>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R&amp;D expenses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1,915,087</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1,529,409</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385,678</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10,264,123</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7"/>
              </w:rPr>
              <w:t>6,310,608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3,953,515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63% increase in R&amp;D expenses for the years ended December 31, 2025 and 2024 increased by CHF 3.5 million primarily relating to our stock-based compensation expenses. This increase relates to an increase in the fair value of the awards driven primarily by the increase in the stock price input to the valuation model. Also contributing to the increase was an increase in the purchase of design and engineering tools.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the Company does not track research and development expenses by product candidate. This is because our current activities remain in the discovery phase, where resources, personnel and external costs are shared across multiple research efforts and are not yet attributable to specific product candidates in a systematic manner.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(“S&amp;M”) expenses consist primarily of personnel-related costs, including salaries, benefits, and stock-based compensation for employees engaged in business development, partnership outreach, and corporate marketing activities. In addition, S&amp;M expenses may include costs for participation in industry conferences, travel, promotional activities, and professional services related to commercialization planning.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S&amp;M expenses by nature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 (excluding SBC)</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318,489</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(SBC)</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6,629,967</w:t>
            </w:r>
          </w:p>
        </w:tc>
        <w:tc>
          <w:tcPr>
            <w:tcW w:w="34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3,318,285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3,311,682</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S&amp;M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6,948,456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3,312,798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91% increase in S&amp;M expenses for the years ended December 31, 2025 and 2024 increased by CHF 3.3 million primarily relating to our stock-based compensation expenses. This increase relates to an increase in the fair value of the awards driven primarily by the increase in the stock price input to the valuation model.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we have not yet generated product sales, we continue to incur these expenses to build brand awareness, establish relationships with potential customers and partners, and develop future go-to-market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primarily of depreciation of our IT systems and amortization of our technology. Depreciation and amortization expense for the years ended December 31, 2025 and 2024 was CHF 2.1 million and CHF 1.9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earn-out liabilities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Synimmune acquisition agreement, Veraxa agreed to pay additional consideration upon completion of specific milestones. The fair value of the contingent consideration is recorded as a liability on our balance sheet and adjusted at the end of each reporting period based on the estimated probability of occurrence and the time factor. Any changes in fair value of the contingent liability due to assumption adjustments are recorded in the income statement. In 2025, an loss of CHF 0.8 million was recognized in relation to the increase in the fair value of our stock.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Currency exchange gain (loss)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Currency exchange gain (loss) decreased from a gain of CHF 0.6 million for the year ended December 31, 2024 to a loss of CHF 0.04 million for the year ended December 31, 2025. The decrease is directly attributable to the volatility of the Euro.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was CHF 0.01 million immaterial in 2025, compared to immaterial in 2024. Other income primarily relates to increase in reimbursements received.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expenses were immaterial in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benefit of CHF 0.4 million in 2025 and CHF 0.6 million in 2024 resulted mainly from the amortization and impairment of intangible assets and a corresponding reduction in the temporary difference between the carrying amount of these assets and their tax base. Unless and until the Company becomes profitable in certain tax jurisdictions, we expect income tax losses and gains will primarily arise from variations of deferred tax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66,613,990 and CHF 28,132,971, respectively, and negative cash flows used in operations of CHF 9,902,331 and CHF 7,720,393, respectively. As of December 31, 2025, the Company had an aggregate unrestricted cash balance of CHF 1,613,989 a net working capital deficit of CHF 3,729,227, and accumulated deficit of CHF 98,478,340.</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December 31, 2025, on May 27, 2026, PubCo and the Company entered into a senior secured financing arrangement with High Trail Capital (“HTC”), pursuant to which they issued a senior secured note in the aggregate principal amount of $27.5 million and a related warrant (the “HTC Financing”). The HTC Financing closed on June 15, 2026, and the Company received the related funding proceeds concurrently with the closing.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on May 27, 2026, Voyager, PubCo and Lincoln Park Capital Fund, LLC (“Lincoln Park”) entered into a purchase agreement and related registration rights agreement (collectively, the “LPC Agreements”), pursuant to which Lincoln Park committed, subject to certain conditions and limitations, to purchase up to an aggregate of $50.0 million of PubCo Ordinary Shares over a 24-month period at market-based purchase prices (the “LPC Financing”). The LPC Financing provides PubCo with the ability to access additional capital at its discretion, subject to the terms of the LPC Agreements.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above, in connection with the Company’s assessment of going concern considerations in accordance with IAS 1, management has considered the Company’s liquidity condition together with the cash proceeds received from, and access to capital provided by, LPC,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Veraxa’s cash flows from operating, investing and financing activities for the years ended December 31, 2025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used in operating activities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(9,902,331)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(7,720,393)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(437,176)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provided by financing activities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6,590,858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1,851,685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CHF 9.9 million compared to CHF 7.7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 increase of CHF 2.2 million. The increase was primarily due to an increase in the Company’s operating loss after non-cash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cause of the increase in the Company’s operating loss (excluding non-cash stock-based compensation) was a slight increase in cash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CHF 0.4 million compared to CHF 0.1 million for the year ended December 31, 2024. The increase was primarily related a increase in the purchases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CHF 6.6 million compared to CHF 1.9 million for the year ended December 31, 2024, an increase of CHF 4.7 million. The increase was due to an increase of the issuance of equity instruments to investors in 2025 compared to 2024 as well as loans received from a related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operating and financial review and prospects were derived from our consolidated financial statements in conformity with IFRS as issued by the IASB. The preparation of the consolidated financial statements in conformity with IFRS requires management to make estimates and assumptions that affect the application of policies and reported amounts of assets, liabilities, income, expenses and related disclosures. The estimates and underlying assumptions are based on historical experience and various other factors that are believed to be reasonable under the circumstances, the results of which form the basis for making the judgments about carrying values of assets and liabilities that are not readily apparent from other sources. Actual results may differ from these estimates. The estimates and assumptions that have a significant risk of causing a material adjustment to the carrying amounts of assets and liabilities within the next financial year are described below.</w:t>
      </w:r>
    </w:p>
    <w:p>
      <w:pPr>
        <w:spacing w:after="0" w:line="189" w:lineRule="exact"/>
        <w:rPr>
          <w:sz w:val="20"/>
          <w:szCs w:val="20"/>
          <w:color w:val="auto"/>
        </w:rPr>
      </w:pPr>
    </w:p>
    <w:p>
      <w:pPr>
        <w:jc w:val="both"/>
        <w:ind w:left="660" w:hanging="328"/>
        <w:spacing w:after="0" w:line="25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measures the cost of liability classified share based transactions, including contingent liabilities and Virtual Stock Option Plans (VSOPs),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and amended standards and interpretations are described in Note 2 to our consolidated financial statements included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expects to retain its emerging growth company status until the earliest of:</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its annual revenues exceed $1.2 billion;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fifth anniversary of its public company registration has occurred;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issued more than $1.0 billion in non-convertible debt during the previous three year period;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qualifies as a large accelerated filer.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qualitative and quantitative disclosures about market risks including foreign currency risk, interest rate risk, liquidity risk and credit risk, see Note 12 to our consolidated financial statements included in this report.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members of our Executive Management and of our Board, upon the consummation of the Business Combination, are set forth in the Prospectus in the section entitled “</w:t>
      </w:r>
      <w:r>
        <w:rPr>
          <w:rFonts w:ascii="Times New Roman" w:cs="Times New Roman" w:eastAsia="Times New Roman" w:hAnsi="Times New Roman"/>
          <w:sz w:val="18"/>
          <w:szCs w:val="18"/>
          <w:i w:val="1"/>
          <w:iCs w:val="1"/>
          <w:color w:val="auto"/>
        </w:rPr>
        <w:t>Management and Executive Compensation</w:t>
      </w:r>
      <w:r>
        <w:rPr>
          <w:rFonts w:ascii="Times New Roman" w:cs="Times New Roman" w:eastAsia="Times New Roman" w:hAnsi="Times New Roman"/>
          <w:sz w:val="18"/>
          <w:szCs w:val="18"/>
          <w:color w:val="auto"/>
        </w:rPr>
        <w:t>,” which is incorporated herein by reference. Effective as of Closing, the general meeting of shareholders elected Oliver R. Baumann, Dr. Christoph Antz, Marc Grüninger, Warren Hosseinion and Christoph Ziegler to the Board. The biographies of the newly appointed and elected directors are set forth in the section of the Prospectus entitled “</w:t>
      </w:r>
      <w:r>
        <w:rPr>
          <w:rFonts w:ascii="Times New Roman" w:cs="Times New Roman" w:eastAsia="Times New Roman" w:hAnsi="Times New Roman"/>
          <w:sz w:val="18"/>
          <w:szCs w:val="18"/>
          <w:i w:val="1"/>
          <w:iCs w:val="1"/>
          <w:color w:val="auto"/>
        </w:rPr>
        <w:t>Management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which is incorporated herein by reference.</w:t>
      </w:r>
    </w:p>
    <w:p>
      <w:pPr>
        <w:spacing w:after="0" w:line="179"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pertaining to the compensation of the directors and members of Executive Management of the Company is set forth in the Prospectus, in the section entitled “</w:t>
      </w:r>
      <w:r>
        <w:rPr>
          <w:rFonts w:ascii="Times New Roman" w:cs="Times New Roman" w:eastAsia="Times New Roman" w:hAnsi="Times New Roman"/>
          <w:sz w:val="18"/>
          <w:szCs w:val="18"/>
          <w:i w:val="1"/>
          <w:iCs w:val="1"/>
          <w:color w:val="auto"/>
        </w:rPr>
        <w:t>Management and Executive Compensation-Compensation of Directors and Executive Officers</w:t>
      </w:r>
      <w:r>
        <w:rPr>
          <w:rFonts w:ascii="Times New Roman" w:cs="Times New Roman" w:eastAsia="Times New Roman" w:hAnsi="Times New Roman"/>
          <w:sz w:val="18"/>
          <w:szCs w:val="18"/>
          <w:color w:val="auto"/>
        </w:rPr>
        <w:t>,” which is incorporated herein by reference.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Option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2021, the Board approved the Employee Stock Option Plan (the “ESOP”) as a one-off plan pursuant to which select eligible participants are directly allowed to purchase a specific number of common shares at a purchase price determined by the Board of Directors. Participants pay the par value of the common shares in cash. The terms of the ESOP are set forth in the Prospectus in the section titled “</w:t>
      </w:r>
      <w:r>
        <w:rPr>
          <w:rFonts w:ascii="Times New Roman" w:cs="Times New Roman" w:eastAsia="Times New Roman" w:hAnsi="Times New Roman"/>
          <w:sz w:val="18"/>
          <w:szCs w:val="18"/>
          <w:i w:val="1"/>
          <w:iCs w:val="1"/>
          <w:color w:val="auto"/>
        </w:rPr>
        <w:t>Management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Compensation—Equity Incentive Plans—Employee Stock Option Plan</w:t>
      </w:r>
      <w:r>
        <w:rPr>
          <w:rFonts w:ascii="Times New Roman" w:cs="Times New Roman" w:eastAsia="Times New Roman" w:hAnsi="Times New Roman"/>
          <w:sz w:val="18"/>
          <w:szCs w:val="18"/>
          <w:color w:val="auto"/>
        </w:rPr>
        <w:t>,” which is incorporated herein by reference.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Virtual Stock Option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adopted a virtual stock option plan (the “VSOP”) in April 2021, which was subsequently amended and restated by board resolution on March 6, 2025. The VSOP is designed to provide members of the Board of Directors, employees of the Company and its Subsidiaries, and selected advisors with a contractual right to share in the economic value created by the Company, without conferring actual equity ownership or any shareholder rights. 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 Virtual options generally vest over three years, with one-third vesting after twelve months and the remainder vesting in equal monthly installments over the following twenty-four months, subject to continued service. Each virtual option has a maximum term of ten years from the grant date. The terms of the VSOP are set forth in the Prospectus in the section titled “</w:t>
      </w:r>
      <w:r>
        <w:rPr>
          <w:rFonts w:ascii="Times New Roman" w:cs="Times New Roman" w:eastAsia="Times New Roman" w:hAnsi="Times New Roman"/>
          <w:sz w:val="18"/>
          <w:szCs w:val="18"/>
          <w:i w:val="1"/>
          <w:iCs w:val="1"/>
          <w:color w:val="auto"/>
        </w:rPr>
        <w:t>Management and Executive Compensation—Equity Incentive Plans—Virtual Stock Option Plan</w:t>
      </w:r>
      <w:r>
        <w:rPr>
          <w:rFonts w:ascii="Times New Roman" w:cs="Times New Roman" w:eastAsia="Times New Roman" w:hAnsi="Times New Roman"/>
          <w:sz w:val="18"/>
          <w:szCs w:val="18"/>
          <w:color w:val="auto"/>
        </w:rPr>
        <w:t>,” which is incorporated herein by reference.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b w:val="1"/>
          <w:bCs w:val="1"/>
          <w:color w:val="auto"/>
        </w:rPr>
        <w:t>Additional Incentive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4, 2025, the Board approved an additional incentive plan for directors, executive management, and advisors.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 Under this incentive structure, pre-assigned VSOP shares vest monthly over twelve months, additional VSOP shares and cash payments become payable upon satisfaction of key financing events, and vesting is conditional on continued service during the applicable period. The incentive plan is intended to further align the interests of key stakeholders with the Company’s financing strategy and growth objectives. The terms of the Additional Incentive Plan are set forth in the Prospectus in the section titled “</w:t>
      </w:r>
      <w:r>
        <w:rPr>
          <w:rFonts w:ascii="Times New Roman" w:cs="Times New Roman" w:eastAsia="Times New Roman" w:hAnsi="Times New Roman"/>
          <w:sz w:val="18"/>
          <w:szCs w:val="18"/>
          <w:i w:val="1"/>
          <w:iCs w:val="1"/>
          <w:color w:val="auto"/>
        </w:rPr>
        <w:t>Management and Executive Compensation—Equity Incentive Plans—Additional Incentive Plan</w:t>
      </w:r>
      <w:r>
        <w:rPr>
          <w:rFonts w:ascii="Times New Roman" w:cs="Times New Roman" w:eastAsia="Times New Roman" w:hAnsi="Times New Roman"/>
          <w:sz w:val="18"/>
          <w:szCs w:val="18"/>
          <w:color w:val="auto"/>
        </w:rPr>
        <w:t>,” which is incorporated herein by reference.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Conditional Capital for Employee and Advisory Options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Articles provide that the Company’s share capital may be increased by a maximum amount of CHF 120,376 through the issuance of not more than 13,632,582 registered common shares with a par value of CHF 100/11325 each by the exercise of option rights granted to employees (including members of the Board of Directors and the Executive Board) and advisors of the Company and/or its subsidiaries. The Board of Directors shall prepare plans for the allocation of such option rights (employee stock option plans). The issue price shall be determined by the Board of Directors and at least correspond to the par value. Such summary and the foregoing description are qualified in their entirety by reference to the text of the Company Articles, a copy of which is attached hereto as Exhibit 1.1 and incorporated herein by reference.</w:t>
      </w:r>
    </w:p>
    <w:p>
      <w:pPr>
        <w:spacing w:after="0" w:line="183"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Information pertaining to Board practices following the Closing is set forth in the Prospectus, in the sections entitled “</w:t>
      </w:r>
      <w:r>
        <w:rPr>
          <w:rFonts w:ascii="Times New Roman" w:cs="Times New Roman" w:eastAsia="Times New Roman" w:hAnsi="Times New Roman"/>
          <w:sz w:val="18"/>
          <w:szCs w:val="18"/>
          <w:i w:val="1"/>
          <w:iCs w:val="1"/>
          <w:color w:val="auto"/>
        </w:rPr>
        <w:t>Management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PubCo Securities</w:t>
      </w:r>
      <w:r>
        <w:rPr>
          <w:rFonts w:ascii="Times New Roman" w:cs="Times New Roman" w:eastAsia="Times New Roman" w:hAnsi="Times New Roman"/>
          <w:sz w:val="18"/>
          <w:szCs w:val="18"/>
          <w:color w:val="auto"/>
        </w:rPr>
        <w:t>,” which are incorporated herein by reference.</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and in accordance with Nasdaq Listing Rule 5615(a)(3), we may, and intend to, choose to comply with home country (Switzerland) governance requirements and certain exemptions thereunder rather than complying with certain of the corporate governance requirements of the Nasdaq.</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Swiss law does not require that a majority of our Board consist of independent directors. Our Board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Swiss law also requires that we set up a remuneration committee, we may follow home country requirements with respect to such committee. Among other things, Swiss law does not require that all or a majority of the remuneration committee consist of independent directors.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articles of association provide for an independent proxy elected by our shareholders, who may represent our shareholders of record at a general meeting of shareholders, and we must provide shareholders of record with an agenda and other relevant documents for the general meeting of shareholders. However, Swiss law does not have a regulatory regime for the solicitation of proxies, thus our practice may vary from the requirement of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an audit committee and a compensation committee. These committees operate pursuant to our articles of association, organizational regulations and the charter of each respective committee, as applicable. The composition and functioning of all committees comply with all applicable requirements of Swiss law, the Exchange Act, The Nasdaq Global Market and SEC rules and regulations.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consists of Marc Grüninger, Warren Hosseinion and Christoph Ziegler. The audit committee assists the board of directors in overseeing our accounting and financial reporting processes and the audits of our financial statements. Mr. Grüninger serves as chairperson of the audit committee. In addition, the audit committee is responsible for overseeing the Company’s corporate accounting and financial reporting process and assisting the Board in monitoring the Company’s financial systems. The Board has determined that Mr. Grüninger, Mr. Hosseinion and Mr. Ziegler satisfy the “independence” requirements set forth in Rule 10A-3 under the Exchange Act and the Nasdaq listing rules. Mr. Grüninger qualifies as an “audit committee financial expert,” as such term is defined in the rules of the SEC implementing Section 407 of SOX, and possesses financial sophistication, as defined under the rules of Nasdaq.</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members of our audit committee qualifies as independent directors according to the rules and regulations of the SEC and Nasdaq with respect to audit committee membership. The audit committee is governed by a charter that complies with applicable Nasdaq rules. We have adopted an audit committee charter, which details the principal functions of the audit committee, including:</w:t>
      </w:r>
    </w:p>
    <w:p>
      <w:pPr>
        <w:spacing w:after="0" w:line="176" w:lineRule="exact"/>
        <w:rPr>
          <w:sz w:val="20"/>
          <w:szCs w:val="20"/>
          <w:color w:val="auto"/>
        </w:rPr>
      </w:pPr>
    </w:p>
    <w:p>
      <w:pPr>
        <w:jc w:val="both"/>
        <w:ind w:left="980" w:hanging="324"/>
        <w:spacing w:after="0" w:line="261"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the oversight of (1) the accounting and financial reporting processes of PubCo and the audits of the financial statements of PubCo, (2) the preparation and integrity of the financial statements of PubCo, (3) the compliance by PubCo with financial statement and regulatory requirements, (4) the performance of PubCo’s internal finance and accounting personnel and its independent registered public accounting firm, and (5) the qualifications and independence of PubCo’s independent registered public accounting firm;</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each of the internal auditors and independent registered public accounting firm the overall scope and plans for audits, including authority and organizational reporting lines and adequacy of staffing and compensation;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internal auditors PubCo’s system of internal control and discuss with the independent registered public accounting firm any significant matters regarding internal controls over financial reporting that have come to its attention during the conduct of its audit;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internal auditors and the independent registered public accounting firm PubCo’s financial and critical accounting practices, and policies relating to risk assessment and management;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and review reports of the independent registered public accounting firm discussing (1) all critical accounting policies and practices to be used in the independent registered public accounting firm’s audit of PubCo’s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annual and quarterly financial statements and section entitled “Management’s Discussion and Analysis of Financial Conditions and Results of Operations” of PubCo prior to the filing of PubCo’s Annual Report on Form 20-F;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or establish, standards for the type of information and the type of presentation of such information to be included in, earnings press releases and earnings guidance provided to analysts and rating agencies;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the independent registered public accounting firm any changes in PubCo’s critical accounting principles and the effects of alternative GAAP methods, off-balance sheet structures and regulatory and accounting initiatives;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periodically with the Chief Executive Officer, Chief Financial Officer, the senior internal auditing executive and the independent registered public accounting firm in separate executive sessions to discuss results of examinations;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all transactions between PubCo and related parties or affiliates of the officers of PubCo requiring disclosure under Item 7 of Form 20-F prior to PubCo entering into such transactions;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received by PubCo regarding accounting, internal accounting controls or auditing matters, and the confidential, anonymous submissions by employees or contractors of concerns regarding questionable accounting or accounting matters;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periodically with PubCo’s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PubCo’s financial statements or accounting policies and any significant changes in accounting standards or rules promulgated by the Financial Accounting Standards Board, the SEC or other regulatory authorities; and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policies for the hiring of employees and former employees of the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consists of Oliver Baumann, Marc Grüninger and Christoph Ziegler. The compensation committee shall support the Board of Directors in establishing and reviewing the Company’s compensation principles and guidelines, in preparing the compensation report and in preparing the proposals to the Meeting of Shareholders regarding compensation of the members of the Board of Directors and Executive Board. Mr. Baumann serves as chairperson of the compensation committee. The compensation committee may submit proposals to the Board of Directors in other compensation related issues. We have adopted a compensation committee charter, which details the principal functions of the compensation committee, including:</w:t>
      </w:r>
    </w:p>
    <w:p>
      <w:pPr>
        <w:spacing w:after="0" w:line="187"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performance of the Chief Executive Officer and executive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developing and evaluating potential candidates for executive positions (including the Chief Executive Officer);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salaries, bonus and other compensation for all executive officers;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ind w:left="98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compensation packages for new corporate officers and termination packages for corporate officers as requested by management;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Board and senior officers plans for officer development and corporate succession plans for the Chief Executive Officer and other senior officers;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concerning executive compensation policies and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adoption of or changes to the compensation of PubCo’s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awards made under any executive officer bonus plan, and provide an appropriate report to the Board;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concerning long-term incentive compensation plans, including the use of stock options and other equity-based plans, and, except as otherwise delegated by the Board, act as the “Plan Administrator” for equity-based and employee benefit plans;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all special perquisites, special cash payments and other special compensation and benefit arrangements for PubCo’s executive officers and employees;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periodic reports from management on matters relating to PubCo’s personnel appointments and practices;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management in complying with PubCo’s annual report disclosure requirements;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executive compensation disclosures for inclusion in PubCo’s Annual Report on Form 20-F in compliance with applicable SEC rules and regulations;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 the committee’s performance and the committee’s charter and recommend to the Board any proposed changes to the charter or the committee;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all further actions and discharge all further responsibilities imposed upon the committee from time to time by the Board, the federal securities laws or the rules and regulations of the SEC.</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and as a result of the Business Combination, the business of the Company is conducted through its wholly owned subsidiary, Veraxa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 GmbH, based on Heidelberg, Germany.</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Information pertaining to our employees is set forth in the Prospectus, in the section entitled “</w:t>
      </w:r>
      <w:r>
        <w:rPr>
          <w:rFonts w:ascii="Times New Roman" w:cs="Times New Roman" w:eastAsia="Times New Roman" w:hAnsi="Times New Roman"/>
          <w:sz w:val="18"/>
          <w:szCs w:val="18"/>
          <w:i w:val="1"/>
          <w:iCs w:val="1"/>
          <w:color w:val="auto"/>
        </w:rPr>
        <w:t>Information About the Company — Employees</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about the ownership of Company Ordinary Shares by our directors and members of Executive Management upon consummation of the Business Combination is set forth in Item 7.A of this Report. Information about arrangements for involving employees in the capital of the Company is set forth in Item 6.B of this Report.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Company Ordinary Shares as of June 10, 2026 immediately following the consummation of the Business Combination by:</w:t>
      </w:r>
    </w:p>
    <w:p>
      <w:pPr>
        <w:spacing w:after="0" w:line="162"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PubCo to be the beneficial owner of more than 5% of the Company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PubCo’s executive officers or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PubCo’s directors and members of Executive Management as a group.</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noted herein, the number and percentage of Company Ordinary Shares beneficially owned is determined in accordance with Rule 13d-3 of the Exchange Act, and the information is not necessarily indicative of beneficial ownership for any other purpose. Under such rule, beneficial ownership includes any Company Ordinary Shares as to which the holder has sole or shared voting power or investment power and also any Company Ordinary Shares which the holder has the right to acquire within 60 days of the Closing Date through the exercise of any option, warrant or any other right.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based percentage ownership on 141,407,813 Company Ordinary Shares outstanding as of the Closing Date, June 10, 2026. The table below does not include earn-out shares which are issued and contingently forfeitable and are not deemed to be outstanding.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0"/>
        </w:trPr>
        <w:tc>
          <w:tcPr>
            <w:tcW w:w="8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Christoph Antz</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Torsten Buergermeister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Heinz Schwer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Oliver R. Baumann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Deck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25,502,836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Grüninger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Warren Hosseinion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 Ziegler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officers and directors as a group (8 individuals)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26,210,768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w:t>
            </w: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 of the Company After Consummation of the Business combination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Edgar Schöni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22,539,749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European Molecular Biology Laboratory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22,891,235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16.18%</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Xlife Sciences AG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23,029,967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16.28%</w:t>
            </w: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Voyager Acquisition Sponsor Holdco LLC</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ordinary shares outstanding.</w:t>
      </w:r>
    </w:p>
    <w:p>
      <w:pPr>
        <w:spacing w:after="0" w:line="22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Information pertaining to related party transactions is set forth in the Prospectus, in the section entitled “</w:t>
      </w:r>
      <w:r>
        <w:rPr>
          <w:rFonts w:ascii="Times New Roman" w:cs="Times New Roman" w:eastAsia="Times New Roman" w:hAnsi="Times New Roman"/>
          <w:sz w:val="18"/>
          <w:szCs w:val="18"/>
          <w:i w:val="1"/>
          <w:iCs w:val="1"/>
          <w:u w:val="single" w:color="auto"/>
          <w:color w:val="auto"/>
        </w:rPr>
        <w:t>Related Person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ind w:left="660" w:right="8080" w:hanging="652"/>
        <w:spacing w:after="0" w:line="537" w:lineRule="auto"/>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18 of this Report for consolidated financial statements and other financial information.</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Information regarding legal proceedings involving the Company is included in the Prospectus in the section entitled “</w:t>
      </w:r>
      <w:r>
        <w:rPr>
          <w:rFonts w:ascii="Times New Roman" w:cs="Times New Roman" w:eastAsia="Times New Roman" w:hAnsi="Times New Roman"/>
          <w:sz w:val="18"/>
          <w:szCs w:val="18"/>
          <w:i w:val="1"/>
          <w:iCs w:val="1"/>
          <w:color w:val="auto"/>
        </w:rPr>
        <w:t>Information About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Company—Legal Proceedings</w:t>
      </w:r>
      <w:r>
        <w:rPr>
          <w:rFonts w:ascii="Times New Roman" w:cs="Times New Roman" w:eastAsia="Times New Roman" w:hAnsi="Times New Roman"/>
          <w:sz w:val="18"/>
          <w:szCs w:val="18"/>
          <w:color w:val="auto"/>
        </w:rPr>
        <w:t>” and is incorporated herein by reference.</w:t>
      </w:r>
    </w:p>
    <w:p>
      <w:pPr>
        <w:spacing w:after="0" w:line="156"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(Notes to Financial Statements – Subsequent Events) for significant changes and other financial information.</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Nasdaq Listing of Ordinary Shares and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Ordinary Shares are listed on the Nasdaq Global Market under the symbol VRXA. The Company Warrants are listed on the Nasdaq Capital Market under the symbol VRXAW. Holders of Company Ordinary Shares and Company Warrants should obtain current market quotations for their securities.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and Lock-Up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the lock-up restrictions applicable to the Sponsor and Initial Shareholders is included in the Prospectus in the section entitled “</w:t>
      </w:r>
      <w:r>
        <w:rPr>
          <w:rFonts w:ascii="Times New Roman" w:cs="Times New Roman" w:eastAsia="Times New Roman" w:hAnsi="Times New Roman"/>
          <w:sz w:val="18"/>
          <w:szCs w:val="18"/>
          <w:i w:val="1"/>
          <w:iCs w:val="1"/>
          <w:color w:val="auto"/>
        </w:rPr>
        <w:t>Proposal One—The Business Combination Proposal—Related Agreements—Sponsor Support and Lock-Up Agreement</w:t>
      </w:r>
      <w:r>
        <w:rPr>
          <w:rFonts w:ascii="Times New Roman" w:cs="Times New Roman" w:eastAsia="Times New Roman" w:hAnsi="Times New Roman"/>
          <w:sz w:val="18"/>
          <w:szCs w:val="18"/>
          <w:color w:val="auto"/>
        </w:rPr>
        <w:t>,” which is incorporated herein by reference.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the registration rights applicable to holders of PubCo securities is included in the Prospectus in the section entitled “</w:t>
      </w:r>
      <w:r>
        <w:rPr>
          <w:rFonts w:ascii="Times New Roman" w:cs="Times New Roman" w:eastAsia="Times New Roman" w:hAnsi="Times New Roman"/>
          <w:sz w:val="18"/>
          <w:szCs w:val="18"/>
          <w:i w:val="1"/>
          <w:iCs w:val="1"/>
          <w:color w:val="auto"/>
        </w:rPr>
        <w:t>Proposal One—The Business Combination Proposal—Related Agreements—Registration Rights Agreement</w:t>
      </w:r>
      <w:r>
        <w:rPr>
          <w:rFonts w:ascii="Times New Roman" w:cs="Times New Roman" w:eastAsia="Times New Roman" w:hAnsi="Times New Roman"/>
          <w:sz w:val="18"/>
          <w:szCs w:val="18"/>
          <w:color w:val="auto"/>
        </w:rPr>
        <w:t>,” which is incorporated herein by reference.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Shareholder Support and Lock-Up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the lock-up restrictions applicable to certain Company Shareholders is included in the Prospectus in the section entitled “</w:t>
      </w:r>
      <w:r>
        <w:rPr>
          <w:rFonts w:ascii="Times New Roman" w:cs="Times New Roman" w:eastAsia="Times New Roman" w:hAnsi="Times New Roman"/>
          <w:sz w:val="18"/>
          <w:szCs w:val="18"/>
          <w:i w:val="1"/>
          <w:iCs w:val="1"/>
          <w:color w:val="auto"/>
        </w:rPr>
        <w:t>Proposal One—The Business Combination Proposal—Related Agreements—Agreements Entered into in Connection with the Business Combination”</w:t>
      </w:r>
      <w:r>
        <w:rPr>
          <w:rFonts w:ascii="Times New Roman" w:cs="Times New Roman" w:eastAsia="Times New Roman" w:hAnsi="Times New Roman"/>
          <w:sz w:val="18"/>
          <w:szCs w:val="18"/>
          <w:color w:val="auto"/>
        </w:rPr>
        <w:t xml:space="preserve"> and is incorporated herein by reference.</w:t>
      </w:r>
    </w:p>
    <w:p>
      <w:pPr>
        <w:spacing w:after="0" w:line="172" w:lineRule="exact"/>
        <w:rPr>
          <w:sz w:val="20"/>
          <w:szCs w:val="20"/>
          <w:color w:val="auto"/>
        </w:rPr>
      </w:pPr>
    </w:p>
    <w:p>
      <w:pPr>
        <w:ind w:left="660" w:right="9060" w:hanging="652"/>
        <w:spacing w:after="0" w:line="530" w:lineRule="auto"/>
        <w:tabs>
          <w:tab w:leader="none" w:pos="66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Ordinary Shares and Company Warrants are listed on The Nasdaq Global Market under the symbol “VRXA” and “VRXAW”, respectively.</w:t>
      </w:r>
    </w:p>
    <w:p>
      <w:pPr>
        <w:spacing w:after="0" w:line="158" w:lineRule="exact"/>
        <w:rPr>
          <w:sz w:val="20"/>
          <w:szCs w:val="20"/>
          <w:color w:val="auto"/>
        </w:rPr>
      </w:pPr>
    </w:p>
    <w:p>
      <w:pPr>
        <w:ind w:left="660" w:right="9000" w:hanging="652"/>
        <w:spacing w:after="0" w:line="582" w:lineRule="auto"/>
        <w:tabs>
          <w:tab w:leader="none" w:pos="66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total share capital amounts to CHF 1,248,634 + 50/453 and is divided into 141,407,813 registered common shares with a par value of CHF 1/113.25 each. The shares are paid up in full. The Company is authorized to increase its share capital by up to 40,948,029 registered common shares in the form of conditional capital and up to 70,662,564 registered common shares under the capital band, as set forth in the Prospectus in the sections entitled “</w:t>
      </w:r>
      <w:r>
        <w:rPr>
          <w:rFonts w:ascii="Times New Roman" w:cs="Times New Roman" w:eastAsia="Times New Roman" w:hAnsi="Times New Roman"/>
          <w:sz w:val="18"/>
          <w:szCs w:val="18"/>
          <w:i w:val="1"/>
          <w:iCs w:val="1"/>
          <w:color w:val="auto"/>
        </w:rPr>
        <w:t>Description of PubCo Securities—Capital Structure of PubCo</w:t>
      </w:r>
      <w:r>
        <w:rPr>
          <w:rFonts w:ascii="Times New Roman" w:cs="Times New Roman" w:eastAsia="Times New Roman" w:hAnsi="Times New Roman"/>
          <w:sz w:val="18"/>
          <w:szCs w:val="18"/>
          <w:color w:val="auto"/>
        </w:rPr>
        <w:t>”. As of June 10, 2026, subsequent to the closing of the Business Combination, there were 141,407,813 Company Ordinary Shares outstanding and issued and 15,000,000 Earnout Shares issued and contingently forfeitable. There were also 20,315,000 Company Warrants outstanding, each entitling the holder to purchase one PubCo Ordinary Share at an exercise price of $11.50 per share.</w:t>
      </w:r>
    </w:p>
    <w:p>
      <w:pPr>
        <w:spacing w:after="0" w:line="183"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articles of association of the Company are included as Exhibit 1.1 to this Report. The description of the articles of association of the Company contained in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 xml:space="preserve"> to the Prospectus is incorporated herein by reference.</w:t>
      </w:r>
    </w:p>
    <w:p>
      <w:pPr>
        <w:spacing w:after="0" w:line="158"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Material Contracts Relating to Company’s Operations</w:t>
      </w:r>
    </w:p>
    <w:p>
      <w:pPr>
        <w:spacing w:after="0" w:line="22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Information pertaining to the Company’s material contracts is set forth in the Prospectus, in the sections entitled “</w:t>
      </w:r>
      <w:r>
        <w:rPr>
          <w:rFonts w:ascii="Times New Roman" w:cs="Times New Roman" w:eastAsia="Times New Roman" w:hAnsi="Times New Roman"/>
          <w:sz w:val="18"/>
          <w:szCs w:val="18"/>
          <w:i w:val="1"/>
          <w:iCs w:val="1"/>
          <w:u w:val="single" w:color="auto"/>
          <w:color w:val="auto"/>
        </w:rPr>
        <w:t>Information About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—Material Licenses, Partnerships and Collaborations</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 Relating to the Business Combination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The description of the Business Combination Agreement, as amended, is included in the Prospectus in the section entitled “</w:t>
      </w:r>
      <w:r>
        <w:rPr>
          <w:rFonts w:ascii="Times New Roman" w:cs="Times New Roman" w:eastAsia="Times New Roman" w:hAnsi="Times New Roman"/>
          <w:sz w:val="18"/>
          <w:szCs w:val="18"/>
          <w:i w:val="1"/>
          <w:iCs w:val="1"/>
          <w:u w:val="single" w:color="auto"/>
          <w:color w:val="auto"/>
        </w:rPr>
        <w:t>Annex A: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Combination Agreement</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The description of other material agreements relating to the Business Combination is included in the Prospectus in the section entitled “</w:t>
      </w:r>
      <w:r>
        <w:rPr>
          <w:rFonts w:ascii="Times New Roman" w:cs="Times New Roman" w:eastAsia="Times New Roman" w:hAnsi="Times New Roman"/>
          <w:sz w:val="18"/>
          <w:szCs w:val="18"/>
          <w:i w:val="1"/>
          <w:iCs w:val="1"/>
          <w:u w:val="single" w:color="auto"/>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No.1—The Business Combination Proposal—Related Agreements</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foreign exchange controls or foreign exchange regulations under the currently applicable laws of Switzerland.</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Information pertaining to tax considerations related to the Business Combination is set forth in the Prospectus, in the section entitled “</w:t>
      </w:r>
      <w:r>
        <w:rPr>
          <w:rFonts w:ascii="Times New Roman" w:cs="Times New Roman" w:eastAsia="Times New Roman" w:hAnsi="Times New Roman"/>
          <w:sz w:val="18"/>
          <w:szCs w:val="18"/>
          <w:i w:val="1"/>
          <w:iCs w:val="1"/>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Tax Considerations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is incorporated herein by reference.</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never declared or paid any cash dividends and has no plan to declare or pay any dividends on Company Ordinary Shares in the foreseeable future. The Company currently intends to retain any earnings for future operations and expansion.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Swiss law, we may pay dividends if we have sufficient distributable profits brought forward from the previous business years (Gewinnvortrag), or if we have distributable reserves (frei verfügbare Reserven), each as evidenced by our audited stand-alone statutory balance sheet prepared pursuant to Swiss law, and after allocations to reserves required by Swiss law have been deducted. The shareholders’ meeting may also resolve to pay an interim dividend based on an interim account. The external auditor must review the interim account before the shareholders’ meeting passes the resolution. The provisions governing dividends apply. Distributable reserves are generally booked either as “free reserves” (freie Reserven) or as “reserve from capital contributions” (Reserven aus Kapitaleinlagen).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Swiss law, five percent of the annual profit shall be assigned to the statutory retained earnings (gesetzliche Gewinnreserve). The statutory retained earnings (gesetzliche Gewinnreserve) shall be increased until, when taken together with the statutory capital reserve (gesetzliche Kapitalreserve), they reach one half of the share capital specified in the commercial register. Swiss law permits us to accrue additional general reserves. Further, a purchase of our own shares (whether by us or a subsidiary) reduces the distributable reserves in an amount corresponding to the purchase price of such own shares. Finally, Swiss law, under certain circumstances, requires the creation of revaluation reserves which are not distributable.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Swiss law allows preferential dividend distribution rights based on the share class. Participation certificates may also carry preferential dividend rights. Within the same share class, shareholders must not receive differential dividend distribution rights.</w:t>
      </w:r>
    </w:p>
    <w:p>
      <w:pPr>
        <w:spacing w:after="0" w:line="158"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historical financial statements of Voyager Acquisition Corp. as of and for the years ended December 31, 2025 and 2024 included in SPAC’s Annual Report on Form 10-K, filed on March 10, 2026, are incorporated by reference in this Report solely to support the Voyager historical financial information used in the unaudited pro forma condensed combined financial information included as Exhibit 15.1. Such Voyager financial statements and related notes have been audited, to the extent audited historical periods are incorporated by reference, by WithumSmith+Brown, PC (PCAOB ID Number 100), an independent registered public accounting firm. Such financial statements are incorporated by reference in reliance upon the report of such firm given upon their authority as experts in accounting and auditing.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Veraxa Biotech AG as of and for the years ended December 31, 2025 and 2024 are included directly in this Shell Company Report on Form 20-F under Item 18. Such financial statements have been audited by Grassi &amp; Co., CPAs, P.C., an independent registered public accounting firm, given on the authority of said firm as experts in auditing and accounting.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of Veraxa Biotech Holding AG as of December 31, 2025 and for the period from June 25, 2025 (inception) through December 31, 2025 are included directly in this Shell Company Report on Form 20-F under Item 18. Such financial statements have been audited by Grassi &amp; Co., CPAs, P.C., an independent registered public accounting firm, given on the authority of said firm as experts in auditing and accounting.</w:t>
      </w:r>
    </w:p>
    <w:p>
      <w:pPr>
        <w:spacing w:after="0" w:line="172"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equity securities.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will also furnish to the SEC, on Form 6-K, unaudited financial information with respect to our interim results. Information filed with or furnished to the SEC by us will be available on our website. The SEC also maintains a website at http://www.sec.gov that contains reports and other information that we file with or furnish electronically with the SEC.</w:t>
      </w:r>
    </w:p>
    <w:p>
      <w:pPr>
        <w:spacing w:after="0" w:line="188" w:lineRule="exact"/>
        <w:rPr>
          <w:sz w:val="20"/>
          <w:szCs w:val="20"/>
          <w:color w:val="auto"/>
        </w:rPr>
      </w:pPr>
    </w:p>
    <w:p>
      <w:pPr>
        <w:ind w:left="660" w:right="8760" w:hanging="652"/>
        <w:spacing w:after="0" w:line="537" w:lineRule="auto"/>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information regarding quantitative and qualitative disclosures about market risk is set forth in Item 5 of this Report.</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described in the Explanatory Note, Item 10.B, and Item 10.C of this Report, there have been no material modifications to the rights of holders of the Company’s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with respect to use of proceeds.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Financial Officer, we evaluated the effectiveness of our disclosure controls and procedures as of December 31, 2025. Based on that evaluation, our Chief Executive Officer and Chief Financial Officer concluded that our disclosure controls and procedures were not effective as of December 31, 2025 due to the material weakness in our internal control over financial reporting described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Material Weakness in Internal Control Over Financial Reporting. </w:t>
      </w:r>
      <w:r>
        <w:rPr>
          <w:rFonts w:ascii="Times New Roman" w:cs="Times New Roman" w:eastAsia="Times New Roman" w:hAnsi="Times New Roman"/>
          <w:sz w:val="18"/>
          <w:szCs w:val="18"/>
          <w:color w:val="auto"/>
        </w:rPr>
        <w:t>As of December 31, 2025, management identified a material weakness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control over financial reporting resulting from a lack of financial reporting close controls designed to ensure that all material transactions and developments impacting the financial statements are appropriately reflected in accordance with IFRS, including non-routine and complex accounting issues. Management has developed and is implementing a remediation plan to address this material weakness, including remediation steps to improve our disclosure controls and procedures and our internal control over financial reporting.</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This Report is a Shell Company Report on Form 20-F and not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for a completed fiscal year.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Attestation Report of the Registered Public Accounting Firm. </w:t>
      </w:r>
      <w:r>
        <w:rPr>
          <w:rFonts w:ascii="Times New Roman" w:cs="Times New Roman" w:eastAsia="Times New Roman" w:hAnsi="Times New Roman"/>
          <w:sz w:val="18"/>
          <w:szCs w:val="18"/>
          <w:color w:val="auto"/>
        </w:rPr>
        <w:t>Not applicable. As an emerging growth company, the Company is not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an auditor attestation report on internal control over financial reporting.</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Other than the remediation efforts described above, there were no changes in our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that occurred during the period covered by this Report that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completion of the Business Combination, our Board determined that Marc Grüninger qualifies as an “audit committee financial expert,” as defined by applicable SEC rules, and that Mr. Grüninger is independent under Rule 10A-3 under the Exchange Act and the applicable Nasdaq listing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completion of the Business Combination, the Company adopted a code of ethics applicable to its directors, officers and employees, including its principal executive officer, principal financial officer, principal accounting officer or controller, or persons performing similar functions.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was formed in 2025 and completed the Business Combination on June 10, 2026. Accordingly, the Company’s audit committee was established only in connection with the closing of the Business Combination and did not pre-approve audit or non-audit services during the historical periods presented in this report.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Going forward, the audit committee will be responsible for the pre-approval of all audit and permitted non-audit services performed by the Company’s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 applicable. The Company’s audit committee was established in connection with the completion of the Business Combination, and the Company is not relying on any exemption from the applicable listing standards for audit committees.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permitted to follow certain home country corporate governance practices instead of certain Nasdaq corporate governance requirements. Going forward. we intend to follow Swiss corporate governance requirements in lieu of certain Nasdaq requirements, including with respect to Board independence, independent director meetings, remuneration committee composition, proxy solicitation practices and general meeting quorum requirements, as described in Item 6.C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 applicable. The Company has not been identified by the SEC under the Holding Foreign Companies Accountable Act as having retained a registered public accounting firm that cannot be inspected or investigated completely by the Public Company Accounting Oversight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 other dispositions of its securities by directors, officers, employees and the Company that are reasonably designed to promote compliance with insider trading laws, rules and regulations, and applicable listing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identifies and manages material risks from cybersecurity threats as part of its overall risk management process. Management is responsible for assessing and managing the Company’s material risks from cybersecurity threats and reporting material cybersecurity matters to the Board.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7820" w:type="dxa"/>
            <w:vAlign w:val="bottom"/>
            <w:gridSpan w:val="6"/>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000" w:type="dxa"/>
            <w:vAlign w:val="bottom"/>
          </w:tcPr>
          <w:p>
            <w:pPr>
              <w:spacing w:after="0"/>
              <w:rPr>
                <w:sz w:val="20"/>
                <w:szCs w:val="20"/>
                <w:color w:val="auto"/>
              </w:rPr>
            </w:pPr>
          </w:p>
        </w:tc>
      </w:tr>
      <w:tr>
        <w:trPr>
          <w:trHeight w:val="432"/>
        </w:trPr>
        <w:tc>
          <w:tcPr>
            <w:tcW w:w="2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12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VERAXA BIOTECH HOLDING AG</w:t>
            </w:r>
          </w:p>
        </w:tc>
        <w:tc>
          <w:tcPr>
            <w:tcW w:w="1000" w:type="dxa"/>
            <w:vAlign w:val="bottom"/>
          </w:tcPr>
          <w:p>
            <w:pPr>
              <w:spacing w:after="0"/>
              <w:rPr>
                <w:sz w:val="24"/>
                <w:szCs w:val="24"/>
                <w:color w:val="auto"/>
              </w:rPr>
            </w:pPr>
          </w:p>
        </w:tc>
      </w:tr>
      <w:tr>
        <w:trPr>
          <w:trHeight w:val="432"/>
        </w:trPr>
        <w:tc>
          <w:tcPr>
            <w:tcW w:w="24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5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190"/>
        </w:trPr>
        <w:tc>
          <w:tcPr>
            <w:tcW w:w="10240" w:type="dxa"/>
            <w:vAlign w:val="bottom"/>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175"/>
        </w:trPr>
        <w:tc>
          <w:tcPr>
            <w:tcW w:w="422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Statement of Financial Position as of December 31, 2025</w:t>
            </w:r>
          </w:p>
        </w:tc>
        <w:tc>
          <w:tcPr>
            <w:tcW w:w="602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242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Operations for the period from June 25, 2025 (inception) through December 31,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42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 of Changes in Equity for the period from June 25, 2025 (inception) through December 31,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42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Cash Flows for the period from June 25, 2025 (inception) through December 31, 2025</w:t>
            </w:r>
          </w:p>
        </w:tc>
        <w:tc>
          <w:tcPr>
            <w:tcW w:w="306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F-7 – F-10</w:t>
            </w:r>
          </w:p>
        </w:tc>
      </w:tr>
      <w:tr>
        <w:trPr>
          <w:trHeight w:val="581"/>
        </w:trPr>
        <w:tc>
          <w:tcPr>
            <w:tcW w:w="2420" w:type="dxa"/>
            <w:vAlign w:val="bottom"/>
            <w:tcBorders>
              <w:top w:val="single" w:sz="8" w:color="0000EE"/>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4"/>
          </w:tcPr>
          <w:p>
            <w:pPr>
              <w:jc w:val="center"/>
              <w:ind w:right="322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Veraxa Biotech Holding AG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 of financial position of Veraxa Biotech Holding AG (the “Company”) as of December 31, 2025, and the related statements of operations, changes in equity, and cash flows for the period from June 25, 2025 (inception) through December 31, 2025, and the related notes (collectively referred to as the “financial statements”). In our opinion, the financial statements present fairly, in all material respects, the financial position of the Company as December 31, 2025, in conformity with International Financial Reporting Standards as issued by the International Accounting Standards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GRASSI &amp; CO., CPAs,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606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6560" w:type="dxa"/>
            <w:vAlign w:val="bottom"/>
            <w:gridSpan w:val="3"/>
          </w:tcPr>
          <w:p>
            <w:pPr>
              <w:jc w:val="center"/>
              <w:ind w:right="2610"/>
              <w:spacing w:after="0"/>
              <w:rPr>
                <w:sz w:val="20"/>
                <w:szCs w:val="20"/>
                <w:color w:val="auto"/>
              </w:rPr>
            </w:pPr>
            <w:r>
              <w:rPr>
                <w:rFonts w:ascii="Times New Roman" w:cs="Times New Roman" w:eastAsia="Times New Roman" w:hAnsi="Times New Roman"/>
                <w:sz w:val="18"/>
                <w:szCs w:val="18"/>
                <w:b w:val="1"/>
                <w:bCs w:val="1"/>
                <w:color w:val="auto"/>
                <w:w w:val="98"/>
              </w:rPr>
              <w:t>Veraxa Biotech Holding AG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6560" w:type="dxa"/>
            <w:vAlign w:val="bottom"/>
            <w:gridSpan w:val="3"/>
          </w:tcPr>
          <w:p>
            <w:pPr>
              <w:jc w:val="center"/>
              <w:ind w:right="2630"/>
              <w:spacing w:after="0"/>
              <w:rPr>
                <w:sz w:val="20"/>
                <w:szCs w:val="20"/>
                <w:color w:val="auto"/>
              </w:rPr>
            </w:pPr>
            <w:r>
              <w:rPr>
                <w:rFonts w:ascii="Times New Roman" w:cs="Times New Roman" w:eastAsia="Times New Roman" w:hAnsi="Times New Roman"/>
                <w:sz w:val="18"/>
                <w:szCs w:val="18"/>
                <w:b w:val="1"/>
                <w:bCs w:val="1"/>
                <w:color w:val="auto"/>
                <w:w w:val="99"/>
              </w:rPr>
              <w:t>Statement of Financial Position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00" w:type="dxa"/>
            <w:vAlign w:val="bottom"/>
          </w:tcPr>
          <w:p>
            <w:pPr>
              <w:spacing w:after="0"/>
              <w:rPr>
                <w:sz w:val="20"/>
                <w:szCs w:val="20"/>
                <w:color w:val="auto"/>
              </w:rPr>
            </w:pPr>
          </w:p>
        </w:tc>
        <w:tc>
          <w:tcPr>
            <w:tcW w:w="6560" w:type="dxa"/>
            <w:vAlign w:val="bottom"/>
            <w:gridSpan w:val="3"/>
          </w:tcPr>
          <w:p>
            <w:pPr>
              <w:jc w:val="center"/>
              <w:ind w:right="263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37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CHF</w:t>
            </w:r>
          </w:p>
        </w:tc>
        <w:tc>
          <w:tcPr>
            <w:tcW w:w="6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101,000</w:t>
            </w: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0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8,856</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Advances-related parties</w:t>
            </w: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7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Subscribed Capital</w:t>
            </w: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(26,856)</w:t>
            </w:r>
          </w:p>
        </w:tc>
      </w:tr>
      <w:tr>
        <w:trPr>
          <w:trHeight w:val="210"/>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6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100" w:type="dxa"/>
            <w:vAlign w:val="bottom"/>
            <w:tcBorders>
              <w:bottom w:val="single" w:sz="8" w:color="CCEEFF"/>
            </w:tcBorders>
          </w:tcPr>
          <w:p>
            <w:pPr>
              <w:spacing w:after="0"/>
              <w:rPr>
                <w:sz w:val="18"/>
                <w:szCs w:val="18"/>
                <w:color w:val="auto"/>
              </w:rPr>
            </w:pPr>
          </w:p>
        </w:tc>
      </w:tr>
      <w:tr>
        <w:trPr>
          <w:trHeight w:val="209"/>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6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2025 (inception) Through December 31, 2025</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CHF</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expenses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8,856</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gridSpan w:val="2"/>
            <w:vMerge w:val="restart"/>
          </w:tcPr>
          <w:p>
            <w:pPr>
              <w:ind w:left="2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20" w:type="dxa"/>
            <w:vAlign w:val="bottom"/>
            <w:tcBorders>
              <w:bottom w:val="single" w:sz="8" w:color="auto"/>
            </w:tcBorders>
            <w:gridSpan w:val="2"/>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2025 (inception) Through December 31, 2025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Subscribed Capital</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20"/>
                <w:szCs w:val="20"/>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CHF</w:t>
            </w:r>
          </w:p>
        </w:tc>
        <w:tc>
          <w:tcPr>
            <w:tcW w:w="13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25, 2025 (inception)</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contribution of capital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(26,856)</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(26,856)</w:t>
            </w:r>
          </w:p>
        </w:tc>
      </w:tr>
      <w:tr>
        <w:trPr>
          <w:trHeight w:val="20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(26,856)</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7"/>
          <w:szCs w:val="17"/>
          <w:b w:val="1"/>
          <w:bCs w:val="1"/>
          <w:color w:val="auto"/>
        </w:rPr>
        <w:t>For the period from June 25, 2025 (inception) Through December 31, 2025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Due to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initial capital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end of period</w:t>
      </w:r>
    </w:p>
    <w:p>
      <w:pPr>
        <w:spacing w:after="0" w:line="25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33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0" w:hanging="555"/>
        <w:spacing w:after="0"/>
        <w:tabs>
          <w:tab w:leader="none" w:pos="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(26,856)</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8,856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100,000</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101,000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0" w:hanging="515"/>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029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9300" w:space="720"/>
            <w:col w:w="1180"/>
          </w:cols>
          <w:pgMar w:left="320" w:top="792" w:right="37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2025 (inception) Through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Veraxa Biotech Holding AG (the “PubCo”) is a Swiss Company formed by Voyager Acquisition Corp., a Cayman Islands exempted company (“SPAC”) on June 25, 2025 (inception). The PubCo has adopted a fiscal year-end of December 31. The PubCo was formed to be the surviving company in connection with a contemplated business combination between Veraxa Biotech AG (the “Company” or “Veraxa”) and SPAC, (see Note 3). The PubCo has no principal operations or revenue producing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the International Financial Reporting Standards (“IFRS”) issued by the International Accounting Standards Board (“IASB”), and in the presentation currency CHF, the Company’s functional currency. All amounts are in actual CHF unless otherwise stated.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accompanying financial statements in conformity with IFRS requires management to make certain estimates and assumptions that affect the reported amounts and disclosures of assets during the reporting period. Estimates are adjusted to reflect actual experience when necessary. There were no significant estimates for the period from June 25, 2025 (Inception) to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is comprised of cash on hand and demand deposits which are subject to an insignificant risk of change in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The Company currently does have any deferred tax assets. The PubCo’s management determined that Switzerland is the PubCo’s only major tax jurisdiction.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are classified as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Per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PubCo computes basic loss per share (“EPS”) by dividing net loss by the weighted average number of ordinary shares outstanding for the reporting period. Diluted earnings per share is calculated by dividing net loss by the weighted average number of ordinary share equivalents outstanding. During the periods when they are anti-dilutive, ordinary share equivalents, if any, are not considered in the computation. As of December 31, 2025, there were no anti-dilutive ordinary shares or ordinary share equivalents outstanding.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include cash and accrued expenses. These are initially recorded at fair value and subsequently measured at cost, which is considered to approximate their fair value due to the short-term nature of such financial instruments.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spacing w:after="0" w:line="16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and liabilities in active markets, quoted prices in markets that are not active, or inputs which are observable, either directly or indirectly, for substantially the full term of the asset or liability;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amendments to published standards and interpretations that are not yet effective and have not been early adopted by the Company</w:t>
      </w:r>
    </w:p>
    <w:p>
      <w:pPr>
        <w:spacing w:after="0" w:line="22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to IFRS Accounting Standards, Volume 11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Referencing Nature-Dependent Electricity - Amendments to IFRS 9 and IFRS 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and Measurement of Financial Instruments - Amendments to IFRS 9 and IFRS 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18 – Presentation and Disclosure in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19 – Presentation and Disclosure in Financial Statements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to related party</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2025, the Company incurred CHF 8,856 of expenses that were paid for by a related party. These expenses were for general operating expenses of the entity.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Advances – Related party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the PubCo has received advances from its sole member of CHF 1,000 as an overpayment of the initial capital contribution. These amounts are interest free and due on demand.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22, 2025, Voyager Acquisition Corp., a Cayman Islands exempted company (“SPAC”), entered into a Business Combination Agreement (as it may be amended, supplemented or otherwise modified from time to time, the “Business Combination Agreement”), with the “Company and Oliver Baumann, an individual, solely in his capacity as representative for the Company Shareholders. Pursuant to the terms of the Business Combination Agreement, Voyager Acquisition Sponsor Holdco LLC, a Delaware limited liability company (“Sponsor”), will form a public limited company organized under the Laws of Switzerland (“PubCo”), and PubCo will form an exempted company limited by shares incorporated under the laws of the Cayman Islands, to be a direct wholly owned subsidiary of PubCo (“Merger Sub” and, together with PubCo each, individually, an “Acquisition Entity”).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“Initial Merger”), (ii) as soon as practicable, but not less than twenty-four hours following the completion of the Initial Merger, the Company will merge with and into PubCo, with PubCo as the surviving entity in the merger (the “Acquisition Merger”). The Initial Merger, the Acquisition Merger and the other transactions contemplated by the Business Combination Agreement are hereinafter referred to as the “Business Combination”. The Business Combination was consummated on June 10,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the PubCo’s ordinary shares are entitled to one vote for each share. On June 25, 2025, the PubCo issued 100,000 ordinary shares, CHF 1.00 par value for CHF 100,000.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June 16, 2026, which represents the date the financial statements were available to be issued, and no events, other than those discussed below, have occurred through that date that would impact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Restructuring and Merger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2026, an Extraordinary General Meeting (EGM) unanimously approved the corporate merger by absorption of Veraxa Biotech AG (VBAG) into Veraxa Biotech Holding AG (VHAG). The merger became effective upon registration in the Zurich commercial register, with retroactive accounting and tax effectiveness from January 1, 2026. Following the merger, VBAG ceased to exist without liquidation, and the surviving entity (VHAG) officially changed its name to Veraxa Biotech AG.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absorption, all of VBAG’s assets, totaling CHF 73,783,861, and liabilities, totaling CHF 20,108,070, were transferred to the Company. Independent auditors (BDO AG) confirmed the fairness of the valuation, which was determined using risk-adjusted net present value (DCF), market comparables, and transaction methods.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18"/>
          <w:szCs w:val="18"/>
          <w:color w:val="auto"/>
        </w:rPr>
        <w:t>In conjunction with the merger, the Company’s statutes were completely revised to reflect a new capital structure and approved option plans. The following capital adjustments were executed:</w:t>
      </w:r>
    </w:p>
    <w:p>
      <w:pPr>
        <w:spacing w:after="0" w:line="158"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 Split: </w:t>
      </w:r>
      <w:r>
        <w:rPr>
          <w:rFonts w:ascii="Times New Roman" w:cs="Times New Roman" w:eastAsia="Times New Roman" w:hAnsi="Times New Roman"/>
          <w:sz w:val="18"/>
          <w:szCs w:val="18"/>
          <w:color w:val="auto"/>
        </w:rPr>
        <w:t>The Company’s initial share capital of CHF 100,000, previously representing 100,000 shares, was split into 11,325,000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Ordinary Capital Increase: </w:t>
      </w:r>
      <w:r>
        <w:rPr>
          <w:rFonts w:ascii="Times New Roman" w:cs="Times New Roman" w:eastAsia="Times New Roman" w:hAnsi="Times New Roman"/>
          <w:sz w:val="18"/>
          <w:szCs w:val="18"/>
          <w:color w:val="auto"/>
        </w:rPr>
        <w:t>The share capital was further increased by CHF 1,147,904, bringing the new total share capital to CHF 1,247,904.</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 Exchange: </w:t>
      </w:r>
      <w:r>
        <w:rPr>
          <w:rFonts w:ascii="Times New Roman" w:cs="Times New Roman" w:eastAsia="Times New Roman" w:hAnsi="Times New Roman"/>
          <w:sz w:val="18"/>
          <w:szCs w:val="18"/>
          <w:color w:val="auto"/>
        </w:rPr>
        <w:t>The Company issued 130,000,128 new shares to VBAG shareholders in exchange for 14,751,067 VBAG shares, establishing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ratio of 8.81293 new shares per VBAG share. No cash compensation or special advantages were granted in this exchange.</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Capital Increase: </w:t>
      </w:r>
      <w:r>
        <w:rPr>
          <w:rFonts w:ascii="Times New Roman" w:cs="Times New Roman" w:eastAsia="Times New Roman" w:hAnsi="Times New Roman"/>
          <w:sz w:val="18"/>
          <w:szCs w:val="18"/>
          <w:color w:val="auto"/>
        </w:rPr>
        <w:t>Authorization was granted for a maximum capital increase of up to CHF 223,400 through the issuance of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25,300,050 new shares.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Conditional Capital: </w:t>
      </w:r>
      <w:r>
        <w:rPr>
          <w:rFonts w:ascii="Times New Roman" w:cs="Times New Roman" w:eastAsia="Times New Roman" w:hAnsi="Times New Roman"/>
          <w:sz w:val="18"/>
          <w:szCs w:val="18"/>
          <w:color w:val="auto"/>
        </w:rPr>
        <w:t>Several tranches totaling over 40 million shares were approved as conditional capital to support future option exercises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employees, and advisors. Existing employee option plans (VSOP) from prior to the merger will continue post-merger.</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Band: </w:t>
      </w:r>
      <w:r>
        <w:rPr>
          <w:rFonts w:ascii="Times New Roman" w:cs="Times New Roman" w:eastAsia="Times New Roman" w:hAnsi="Times New Roman"/>
          <w:sz w:val="18"/>
          <w:szCs w:val="18"/>
          <w:color w:val="auto"/>
        </w:rPr>
        <w:t>The Board of Directors is authorized to increase capital up to an additional CHF 623,952 (maximum 70,662,564 shares)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2030.</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Concurrent with the restructuring, a new Board of Directors was elected, consisting of Oliver Baumann (Chairman), Warren Hosseinion, Dr. Christoph Antz, Christoph Ziegler, and Marc Grüninger. BDO AG was elected as the statutory auditor.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6220" w:type="dxa"/>
            <w:vAlign w:val="bottom"/>
            <w:gridSpan w:val="6"/>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VERAXA BIOTECH AG</w:t>
            </w:r>
          </w:p>
        </w:tc>
        <w:tc>
          <w:tcPr>
            <w:tcW w:w="1000" w:type="dxa"/>
            <w:vAlign w:val="bottom"/>
          </w:tcPr>
          <w:p>
            <w:pPr>
              <w:spacing w:after="0"/>
              <w:rPr>
                <w:sz w:val="20"/>
                <w:szCs w:val="20"/>
                <w:color w:val="auto"/>
              </w:rPr>
            </w:pPr>
          </w:p>
        </w:tc>
      </w:tr>
      <w:tr>
        <w:trPr>
          <w:trHeight w:val="432"/>
        </w:trPr>
        <w:tc>
          <w:tcPr>
            <w:tcW w:w="10240" w:type="dxa"/>
            <w:vAlign w:val="bottom"/>
            <w:gridSpan w:val="7"/>
          </w:tcPr>
          <w:p>
            <w:pPr>
              <w:jc w:val="center"/>
              <w:ind w:left="912"/>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4"/>
                <w:szCs w:val="24"/>
                <w:color w:val="auto"/>
              </w:rPr>
            </w:pPr>
          </w:p>
        </w:tc>
      </w:tr>
      <w:tr>
        <w:trPr>
          <w:trHeight w:val="432"/>
        </w:trPr>
        <w:tc>
          <w:tcPr>
            <w:tcW w:w="40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38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189"/>
        </w:trPr>
        <w:tc>
          <w:tcPr>
            <w:tcW w:w="10240" w:type="dxa"/>
            <w:vAlign w:val="bottom"/>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F-12</w:t>
            </w:r>
          </w:p>
        </w:tc>
      </w:tr>
      <w:tr>
        <w:trPr>
          <w:trHeight w:val="176"/>
        </w:trPr>
        <w:tc>
          <w:tcPr>
            <w:tcW w:w="58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w:t>
            </w:r>
          </w:p>
        </w:tc>
        <w:tc>
          <w:tcPr>
            <w:tcW w:w="444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F-13</w:t>
            </w:r>
          </w:p>
        </w:tc>
      </w:tr>
      <w:tr>
        <w:trPr>
          <w:trHeight w:val="20"/>
        </w:trPr>
        <w:tc>
          <w:tcPr>
            <w:tcW w:w="40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LOSS AND OTHER COMPREHENSIVE LOSS</w:t>
            </w:r>
          </w:p>
        </w:tc>
        <w:tc>
          <w:tcPr>
            <w:tcW w:w="38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F-14</w:t>
            </w: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F-15</w:t>
            </w:r>
          </w:p>
        </w:tc>
      </w:tr>
      <w:tr>
        <w:trPr>
          <w:trHeight w:val="21"/>
        </w:trPr>
        <w:tc>
          <w:tcPr>
            <w:tcW w:w="40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622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F-16</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F-17 – F-36</w:t>
            </w:r>
          </w:p>
        </w:tc>
      </w:tr>
      <w:tr>
        <w:trPr>
          <w:trHeight w:val="581"/>
        </w:trPr>
        <w:tc>
          <w:tcPr>
            <w:tcW w:w="402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360" w:type="dxa"/>
            <w:vAlign w:val="bottom"/>
            <w:tcBorders>
              <w:bottom w:val="single" w:sz="8" w:color="auto"/>
            </w:tcBorders>
            <w:gridSpan w:val="3"/>
          </w:tcPr>
          <w:p>
            <w:pPr>
              <w:jc w:val="center"/>
              <w:ind w:right="3860"/>
              <w:spacing w:after="0"/>
              <w:rPr>
                <w:sz w:val="20"/>
                <w:szCs w:val="20"/>
                <w:color w:val="auto"/>
              </w:rPr>
            </w:pPr>
            <w:r>
              <w:rPr>
                <w:rFonts w:ascii="Times New Roman" w:cs="Times New Roman" w:eastAsia="Times New Roman" w:hAnsi="Times New Roman"/>
                <w:sz w:val="18"/>
                <w:szCs w:val="18"/>
                <w:color w:val="auto"/>
                <w:w w:val="99"/>
              </w:rPr>
              <w:t>F-11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Veraxa Biotech AG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Veraxa Biotech AG (the “Company”) as of December 31, 2025 and 2024, and the related consolidated statements of loss and other comprehensive loss, changes in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International Financial Reporting Standards as issued by the International Accounting Standards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GRASSI &amp; CO., CPAs,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606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Pr>
          <w:p>
            <w:pPr>
              <w:spacing w:after="0"/>
              <w:rPr>
                <w:sz w:val="20"/>
                <w:szCs w:val="20"/>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1,984,977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1,961,792</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22,848,728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22,848,728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51,907,963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53,485,292</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1,123,395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 Long term</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77,935,781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79,160,298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1,111,424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 related party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21,268</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68,814</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1,613,989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5,362,638</w:t>
            </w: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2,884,583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5,606,326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80,820,364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84,766,624</w:t>
            </w:r>
          </w:p>
        </w:tc>
        <w:tc>
          <w:tcPr>
            <w:tcW w:w="100" w:type="dxa"/>
            <w:vAlign w:val="bottom"/>
            <w:tcBorders>
              <w:bottom w:val="single" w:sz="8" w:color="CCEEFF"/>
            </w:tcBorders>
          </w:tcPr>
          <w:p>
            <w:pPr>
              <w:spacing w:after="0"/>
              <w:rPr>
                <w:sz w:val="21"/>
                <w:szCs w:val="21"/>
                <w:color w:val="auto"/>
              </w:rPr>
            </w:pPr>
          </w:p>
        </w:tc>
      </w:tr>
      <w:tr>
        <w:trPr>
          <w:trHeight w:val="196"/>
        </w:trPr>
        <w:tc>
          <w:tcPr>
            <w:tcW w:w="7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Subscribed 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14,751,067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14,182,189</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68,252,651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48,959,480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(291,525)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(222,503)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(98,478,340)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(31,864,350)</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(deficit) equity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(15,766,147)</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31,054,816</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883,553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708,082</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14,440,732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15,165,086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2,898,873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2,099,705</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 commitments (SARs)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71,749,543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33,192,793</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89,972,701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51,165,666</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1,390,932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488,543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2,675,623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1,802,350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257,095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156,403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1,290,160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98,846</w:t>
            </w: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6,613,810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96,586,511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53,711,808</w:t>
            </w:r>
          </w:p>
        </w:tc>
        <w:tc>
          <w:tcPr>
            <w:tcW w:w="100" w:type="dxa"/>
            <w:vAlign w:val="bottom"/>
            <w:tcBorders>
              <w:bottom w:val="single" w:sz="8" w:color="CCEEFF"/>
            </w:tcBorders>
          </w:tcPr>
          <w:p>
            <w:pPr>
              <w:spacing w:after="0"/>
              <w:rPr>
                <w:sz w:val="18"/>
                <w:szCs w:val="18"/>
                <w:color w:val="auto"/>
              </w:rPr>
            </w:pPr>
          </w:p>
        </w:tc>
      </w:tr>
      <w:tr>
        <w:trPr>
          <w:trHeight w:val="210"/>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80,820,364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84,766,624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ind w:right="454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STATEMENT OF LOSS AND OTHER COMPREHENSIVE LOSS FOR THE YEARS ENDED DECEMBER 31, 2025 AND 2024 (in CHF)</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LOSS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0" w:type="dxa"/>
            <w:vAlign w:val="bottom"/>
          </w:tcPr>
          <w:p>
            <w:pPr>
              <w:spacing w:after="0"/>
              <w:rPr>
                <w:sz w:val="1"/>
                <w:szCs w:val="1"/>
                <w:color w:val="auto"/>
              </w:rPr>
            </w:pPr>
          </w:p>
        </w:tc>
      </w:tr>
      <w:tr>
        <w:trPr>
          <w:trHeight w:val="238"/>
        </w:trPr>
        <w:tc>
          <w:tcPr>
            <w:tcW w:w="7480" w:type="dxa"/>
            <w:vAlign w:val="bottom"/>
          </w:tcPr>
          <w:p>
            <w:pPr>
              <w:spacing w:after="0"/>
              <w:rPr>
                <w:sz w:val="20"/>
                <w:szCs w:val="20"/>
                <w:color w:val="auto"/>
              </w:rPr>
            </w:pP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60" w:type="dxa"/>
            <w:vAlign w:val="bottom"/>
          </w:tcPr>
          <w:p>
            <w:pPr>
              <w:spacing w:after="0"/>
              <w:rPr>
                <w:sz w:val="20"/>
                <w:szCs w:val="20"/>
                <w:color w:val="auto"/>
              </w:rPr>
            </w:pPr>
          </w:p>
        </w:tc>
        <w:tc>
          <w:tcPr>
            <w:tcW w:w="238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(7,965)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(46,922,232)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(17,095,133)</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(10,264,123)</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(6,310,608)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(6,948,456)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(3,635,658)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4, 5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(2,097,225)</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(1,876,482)</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(66,216,575)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(28,917,881)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(799,168)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(474,538)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Currency exchange gain (loss)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(41,545)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624,154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54,247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14,811</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(3,552)</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(67,006,593)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(28,753,745)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392,603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620,774</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(66,613,990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(28,132,971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6"/>
        </w:trPr>
        <w:tc>
          <w:tcPr>
            <w:tcW w:w="74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14,474,974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14,051,547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OTHER COMPREHENSIVE LOSS</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0" w:type="dxa"/>
            <w:vAlign w:val="bottom"/>
          </w:tcPr>
          <w:p>
            <w:pPr>
              <w:spacing w:after="0"/>
              <w:rPr>
                <w:sz w:val="1"/>
                <w:szCs w:val="1"/>
                <w:color w:val="auto"/>
              </w:rPr>
            </w:pPr>
          </w:p>
        </w:tc>
      </w:tr>
      <w:tr>
        <w:trPr>
          <w:trHeight w:val="238"/>
        </w:trPr>
        <w:tc>
          <w:tcPr>
            <w:tcW w:w="7480" w:type="dxa"/>
            <w:vAlign w:val="bottom"/>
          </w:tcPr>
          <w:p>
            <w:pPr>
              <w:spacing w:after="0"/>
              <w:rPr>
                <w:sz w:val="20"/>
                <w:szCs w:val="20"/>
                <w:color w:val="auto"/>
              </w:rPr>
            </w:pP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60" w:type="dxa"/>
            <w:vAlign w:val="bottom"/>
          </w:tcPr>
          <w:p>
            <w:pPr>
              <w:spacing w:after="0"/>
              <w:rPr>
                <w:sz w:val="20"/>
                <w:szCs w:val="20"/>
                <w:color w:val="auto"/>
              </w:rPr>
            </w:pPr>
          </w:p>
        </w:tc>
        <w:tc>
          <w:tcPr>
            <w:tcW w:w="238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(66,613,990)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(28,132,971)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operations - currency translation differences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(69,022)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(222,503)</w:t>
            </w: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reclassifiable amounts</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(69,022)</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(66,683,012)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(28,355,474)</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4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Subscribed</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0"/>
                <w:szCs w:val="20"/>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OCI</w:t>
            </w:r>
          </w:p>
        </w:tc>
        <w:tc>
          <w:tcPr>
            <w:tcW w:w="16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10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14,182,189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48,959,480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(31,864,350)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31,054,816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(66,613,990)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(66,613,990)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result - currency conversion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in relation to ESOP</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14,106,551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14,106,551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568,878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6,288,524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6,857,402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 issuance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(1,101,904)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(1,101,904)</w:t>
            </w:r>
          </w:p>
        </w:tc>
      </w:tr>
      <w:tr>
        <w:trPr>
          <w:trHeight w:val="20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14,751,067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68,252,651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(98,478,340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(15,766,147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Subscribed</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0"/>
                <w:szCs w:val="20"/>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OCI</w:t>
            </w:r>
          </w:p>
        </w:tc>
        <w:tc>
          <w:tcPr>
            <w:tcW w:w="16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13,409,213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44,960,451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489,459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(3,731,379)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55,127,744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(28,132,971)</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(28,132,971)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result - currency conversion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(711,962)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(711,962)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244,433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2,398,325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2,642,758</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 in relation to ESOP</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2,930,321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2,930,321</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issued in connection with acquisitions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528,543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(528,543)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share issuance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(801,074)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(801,074)</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14,182,189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48,959,480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(222,503)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(31,864,350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31,054,816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87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(66,613,990)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(28,132,971)</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1,972,554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1,876,482</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52,663,301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18,328,192</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Non cash lease expense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lease liabilities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799,168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474,538</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27,599</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loss(gain) on foreign currency translation</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(76,700)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(732,328)</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transactions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902,389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(123,032)</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873,273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907,859</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(31,429)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199,459</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(957,817)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104,155</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 related party</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(37,659)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(21,268)</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(70,718)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(724,354)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1,224,416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(629,078)</w:t>
            </w: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used in operating activities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(9,902,331)</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(7,720,393)</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(437,176)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(120,877)</w:t>
            </w:r>
          </w:p>
        </w:tc>
      </w:tr>
      <w:tr>
        <w:trPr>
          <w:trHeight w:val="210"/>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(437,176)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issue of equity instruments of the company, net of transaction costs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5,755,498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1,851,685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notes payable - related parties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principal portion of lease liabilities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(164,640)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provided by financing activities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6,590,858</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1,851,685</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in cash and cash equivalents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(3,748,649)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(5,989,585)</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5,362,638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11,352,223</w:t>
            </w:r>
          </w:p>
        </w:tc>
      </w:tr>
      <w:tr>
        <w:trPr>
          <w:trHeight w:val="250"/>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1,613,989</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5,362,638</w:t>
            </w:r>
          </w:p>
        </w:tc>
        <w:tc>
          <w:tcPr>
            <w:tcW w:w="100" w:type="dxa"/>
            <w:vAlign w:val="bottom"/>
            <w:tcBorders>
              <w:bottom w:val="single" w:sz="8" w:color="CCEEFF"/>
            </w:tcBorders>
          </w:tcPr>
          <w:p>
            <w:pPr>
              <w:spacing w:after="0"/>
              <w:rPr>
                <w:sz w:val="21"/>
                <w:szCs w:val="21"/>
                <w:color w:val="auto"/>
              </w:rPr>
            </w:pPr>
          </w:p>
        </w:tc>
      </w:tr>
      <w:tr>
        <w:trPr>
          <w:trHeight w:val="196"/>
        </w:trPr>
        <w:tc>
          <w:tcPr>
            <w:tcW w:w="8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recognition of lease liability and right-of-use asset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440,802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864,486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information, functional and presentation currency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Veraxa Biotech AG (the “Company”),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11.5 million shares of the Company. In accordance with IFRS 3 VeLabs was identified as the accounting acquirer based on its activity and size.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(“AML”).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22, 2025, Voyager Acquisition Corp., a Cayman Islands exempted company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entered into a Business Combination Agreement (as it may be amended,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with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Oliver Baumann, an individual, solely in his capacity as representative for the Company Shareholders. Pursuant to the terms of the Business Combination Agreement, Voyager Acquisition Sponsor Holdco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will form a public limited company organized under the Laws of Switzerland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and PubCo will form an exempted company limited by shares incorporated under the laws of the Cayman Islands, to be a direct wholly owned subsidiary of PubCo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PubCo each, individually, an “</w:t>
      </w:r>
      <w:r>
        <w:rPr>
          <w:rFonts w:ascii="Times New Roman" w:cs="Times New Roman" w:eastAsia="Times New Roman" w:hAnsi="Times New Roman"/>
          <w:sz w:val="18"/>
          <w:szCs w:val="18"/>
          <w:u w:val="single" w:color="auto"/>
          <w:color w:val="auto"/>
        </w:rPr>
        <w:t>Acquisition Entity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(ii) as soon as practicable, but not less than twenty-four hours following the completion of the Initial Merger, the Company will merge with and into PubCo, with PubCo as the surviving entity in the merger (the “</w:t>
      </w:r>
      <w:r>
        <w:rPr>
          <w:rFonts w:ascii="Times New Roman" w:cs="Times New Roman" w:eastAsia="Times New Roman" w:hAnsi="Times New Roman"/>
          <w:sz w:val="18"/>
          <w:szCs w:val="18"/>
          <w:u w:val="single" w:color="auto"/>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are hereinafter referred to as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The Business Combination was consummated on June 10, 2026.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accounting policies adopted in the preparation of the consolidated financial statements are set out in Note 2. The policies have been consistently applied to all the years presented, unless otherwise stated.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are presented in CHF, the Company’s functional currency. The figures shown in the consolidated financial statements are rounded. As the calculations are made with a greater degree of accuracy, minor rounding errors may occur.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International Financial Reporting Standards and International Accounting Standards as issued by the International Accounting Standards Board (“IASB”) and Interpretations (collectively IFRS).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compliance with adopted IFRS requires the use of certain critical accounting estimates. It also requires Company management to exercise judgment in applying the Company’s accounting policies. The areas where significant judgments and estimates have been made in preparing the financial statements and their effects are disclosed in the </w:t>
      </w:r>
      <w:r>
        <w:rPr>
          <w:rFonts w:ascii="Times New Roman" w:cs="Times New Roman" w:eastAsia="Times New Roman" w:hAnsi="Times New Roman"/>
          <w:sz w:val="18"/>
          <w:szCs w:val="18"/>
          <w:i w:val="1"/>
          <w:iCs w:val="1"/>
          <w:color w:val="auto"/>
        </w:rPr>
        <w:t>Critical Accounting Estimates and Judgments</w:t>
      </w:r>
      <w:r>
        <w:rPr>
          <w:rFonts w:ascii="Times New Roman" w:cs="Times New Roman" w:eastAsia="Times New Roman" w:hAnsi="Times New Roman"/>
          <w:sz w:val="18"/>
          <w:szCs w:val="18"/>
          <w:color w:val="auto"/>
        </w:rPr>
        <w:t xml:space="preserve"> section of Note 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the preparation and fair presentation of these consolidated financial statements in accordance with International Financial Reporting Standards, which have been completed and authorized for issuance by the Board of Directors of the Company on June 16, 2026.</w:t>
      </w:r>
    </w:p>
    <w:p>
      <w:pPr>
        <w:spacing w:after="0" w:line="172" w:lineRule="exact"/>
        <w:rPr>
          <w:sz w:val="20"/>
          <w:szCs w:val="20"/>
          <w:color w:val="auto"/>
        </w:rPr>
      </w:pPr>
    </w:p>
    <w:p>
      <w:pPr>
        <w:ind w:right="7900" w:firstLine="8"/>
        <w:spacing w:after="0" w:line="503" w:lineRule="auto"/>
        <w:tabs>
          <w:tab w:leader="none" w:pos="1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material accounting policies Basis of consolidation</w:t>
      </w: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consist of the financial statements of wholly owned subsidiaries Veraxa Biotech AG, Veraxa Biotech GmbH and Synimmune GmbH (the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controls another Company if it:</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exercise control over the investee,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to fluctuating returns from its investment,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influence returns due to their power of disposal.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Control over subsidiaries is derived without exception from holding the majority of voting rights in the companies concerned. Subsidiaries are consolidated for the first time at the time of acquisition. This is the date on which the Company obtains control over the subsidiary. Subsidiaries are deconsolidated if control is lost.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Subsidiaries are consolidated for the first time using the acquisition method. It involves measuring the assets acquired and liabilities assumed from the Company at their fair value at the time of acquisition. The acquisition costs of the acquisition correspond to the fair value of the consideration given. If the cost of the acquisition exceeds the fair value of the identified assets and liabilities, the Company recognizes goodwill.</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All intra-group transactions, balances and unrealized gains on transactions between Company companies are eliminated on consolidation. Unrealized losses are also eliminated unless the transaction provides evidence of an impairment of the asset transferred.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66,613,990 and CHF 28,132,971, respectively, and negative cash flows used in operations of CHF 9,902,331 and CHF 7,720,393, respectively. As of December 31, 2025, the Company had an aggregate unrestricted cash balance of CHF 1,613,989 a net working capital deficit of CHF 3,729,227, and accumulated deficit of CHF 98,478,340.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December 31, 2025, on May 27, 2026, PubCo and the Company entered into a senior secured financing arrangement with High Trail Capital (“HTC”), pursuant to which they issued a senior secured note in the aggregate principal amount of $27.5 million and a related warrant (the “HTC Financing”). The HTC Financing closed on June 15, 2026, and the Company received the related funding proceeds concurrently with the closing.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May 27, 2026, Voyager, PubCo and Lincoln Park Capital Fund, LLC (“Lincoln Park”) entered into a purchase agreement and related registration rights agreement (collectively, the “LPC Agreements”), pursuant to which Lincoln Park committed, subject to certain conditions and limitations, to purchase up to an aggregate of $50.0 million of PubCo Ordinary Shares over a 24-month period at market-based purchase prices (the “LPC Financing”). The LPC Financing provides PubCo with the ability to access additional capital at its discretion, subject to the terms of the LPC Agreements.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above, in connection with the Company’s assessment of going concern considerations in accordance with IAS 1, management has considered the Company’s liquidity condition together with the cash proceeds received from, and access to capital provided by, the HTC Financing described above,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Transactions and Translation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financial statements of the fully consolidated subsidiaries whose functional currency is not the Swiss franc are translated into the Company reporting currency, the Swiss franc, using the modified closing rate method. Assets and liabilities are translated at the exchange rate on the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statement items are translated at the average exchange rate for the year. Equity components are translated at historical rates at the balance sheet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currency translation differences are recognized in other comprehensive income. The currency difference resulting from the translation is recognized in other comprehensive income. The cumulative currency translation differences recognized in other reserves are released to profit or loss when Company companies are deconsolidated.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reporting currency is CHF.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conversion rates between CHF and Euro used were 0.93703 Annual average exchange rate (translation of income and expenses) and 0.93050 Year-end exchange rate (translation of assets and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conversion rates between CHF and Euro used were 0.95238 Annual average exchange rate (translation of income and expenses) and 0.93845 Year-end exchange rate (translation of assets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other receivables, trade and other payables and accrued expenses. These are initially recorded at fair value and subsequently measured at cost, which is considered to approximate their fair value due to the short-term nature of such financial instruments.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spacing w:after="0" w:line="162"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and liabilities in active markets, quoted prices in markets that are not active, or inputs which are observable, either directly or indirectly, for substantially the full term of the asset or liability;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on hand, demand deposits and short-term investments which are readily convertible to known amounts of cash and which are subject to an insignificant risk of change in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office and business equipment and IT systems recognized under property, plant and equipment are reported at acquisition or production cost less accumulated depreciation and recognized impairment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is calculated using the straight-line method over a useful life of 3-20 years. The expected useful lives, residual values and depreciation methods are reviewed at each reporting date and all necessary changes in estimates are adjusted by account classification prospectively.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Fixed Asset Class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Applied Useful Life</w:t>
            </w:r>
          </w:p>
        </w:tc>
      </w:tr>
      <w:tr>
        <w:trPr>
          <w:trHeight w:val="209"/>
        </w:trPr>
        <w:tc>
          <w:tcPr>
            <w:tcW w:w="8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8 years</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systems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5 years</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(permanently installed laboratory equipment)</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 20 years</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derecognized at the time of disposal or when they are no longer expected to generate any further economic benefit. The gain or loss resulting from the sale or retirement of an item of property, plant and equipment is determined as the difference between the proceeds from the sale and the carrying amount of the asset and is recognized in profit or loss.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plant and equipment are reviewed at each reporting date to determine whether there is any indication of impairment. If any such indication exists, the asset’s recoverable amount is estimated.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intangible assets that are acquired by the Company and have finite useful lives are measured at cost less accumulated amortization and accumulated impairment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is calculated using the straight-line method over the estimated useful life. The expected useful lives, residual values and depreciation methods are reviewed at each reporting date and all necessary changes in estimates are taken into account prospectively.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 class</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Applied Useful Life</w:t>
            </w:r>
          </w:p>
        </w:tc>
      </w:tr>
      <w:tr>
        <w:trPr>
          <w:trHeight w:val="210"/>
        </w:trPr>
        <w:tc>
          <w:tcPr>
            <w:tcW w:w="8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property rights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 years</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development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 patent protection rights</w:t>
            </w:r>
          </w:p>
        </w:tc>
        <w:tc>
          <w:tcPr>
            <w:tcW w:w="2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years, or patent protection period</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not amortized but is tested for impairment annually at the end of financial year and is allocated to the Company’s cash generating units or groups of cash generating units, which represent the lowest level at which goodwill is monitored but where such a level is not larger than an operating segment. Gains and losses on the disposal of an entity include the carrying amount of goodwill related to the entity sold.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18"/>
          <w:szCs w:val="18"/>
          <w:color w:val="auto"/>
        </w:rPr>
        <w:t>For the purpose of impairment testing, assets are grouped together into the smallest group of assets that generates cash inflows from continuing use that are largely independent of the cash inflows of other assets or groups of assets (a “CGU”). The goodwill acquired in a business combination, for the purpose of impairment testing, is allocated to a CGU that is expected to benefit from the synergies of the combination. If an indication of impairment or reversal of a previous impairment charge exists, an estimate of the recoverable amount of a CGU is calculated based on the greater of its value-in-use (“VIU”) and its fair value less costs of disposal (“FVLCD”). An impairment loss is recognized if the carrying amount of an asset or its CGU exceeds its recoverable amount. Impairment losses are recognized in profit or loss. Impairment losses recognized in respect of CGUs are allocated first to reduce the carrying amount of any goodwill allocated to the units and then to reduce the carrying amount of the other assets in the unit (group of units) on a pro rata basis. An impairment loss in respect of goodwill is not reversed. In respect of other assets, 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is carried at cost less any accumulated impairment losses. As of December 31, 2025, and 2024, there is one CGU and there has been no impairment recorded.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represents the sum of current tax expense and deferred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or deferred taxes are recognized in the consolidated statement of operations unless they relate to items that are recognized either in other comprehensive income or directly in equity. In this case, current and deferred taxes are also recognized in other comprehensive income or directly in equity. Deferred taxes resulting from the first-time recognition of a business combination are recognized as part of the revaluation of the net assets of the acquired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tax expense is calculated on the basis of the taxable income for the year. Taxable income differs from the net loss for the year in the consolidated statement of operations due to expenses and income that are taxable or tax-deductible in later years or never. The Company’s liability for current taxes is calculated on the basis of the tax rates applicable or soon to be applicable.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taxes are recognized for the differences between the carrying amounts of assets and liabilities in the consolidated financial statements and the corresponding tax values.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are generally recognized for all taxable temporary differences; deferred tax assets are recognized to the extent that it is probable that taxable profits will be available against which the losses from the reversal of deductible temporary differences can be offset. The Company does not recognize deferred tax assets and deferred tax liabilities for temporary differences arising from the initial recognition of goodwill or from a transaction that is not a business combination and, at the time of its initial recognition, affects neither the taxable result nor the result according to IFRS.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deferred tax assets is reviewed each year on the reporting date and reduced in value if it is no longer probable that sufficient taxable income will be available to realize the claim in full or in part.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liabilities and tax assets are calculated on the basis of the expected tax rates and tax laws that are expected to apply at the time the liability is settled or the asset is realized.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transactions with related parties (as noted in Note 1). The definition of related parties used is in accordance with IAS 24, Related Party Disclosures. The party which is considered a related party is a person or entity that is related to the entity that is preparing its consolidated financial statements. Key management personnel are identified as the key individuals having authority and responsibility for planning, directing, and controlling the activities of the entity, directly or indirectly, including any director (whether executive or otherwise) of the Company. The related party status extends to the key management of the subsidiaries to the extent they direct the operations of subsidiaries with minimal involvement from the Company’s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Leases are accounted for in accordance with IFRS 16. At contract inception, the Company determines whether an arrangement is or contains a lease by assessing if it conveys the right to control the use of an identified asset for a period of time in exchange for consideration.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Leases include all contracts that transfer the right to use a specified asset for a period of time in exchange for consideration, even if the right-to-use such asset is not explicitly described in the contract.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right-of-use assets as of the commencement date of the lease (i.e.; as of the date on which the underlying asset is available for use by a lessee). Right-of-use assets are measured at cost less accumulated depreciation and accumulated impairment losses and adjusted for any remeasurement of the lease liability. The right-of-use asset corresponds to the amount of the initial measurement of the lease liability, the initial direct costs incurred and the lease payments made at or before the commencement date, less any lease incentives received and the estimate of costs for dismantling or removing the underlying asset or for restoring the underlying asset or the site on which it is located. The Company’s leases primarily include real estate and vehicle contracts.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Right-of-use assets are depreciated on a straight-line basis over the useful life of the underlying asset, adjusted for impairments. The useful life of the right-of-use asset is the shorter of the asset’s economic useful life or the lease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ownership of the underlying asset transfers to the Company at the end of the lease term or a purchase option is exercised, the depreciation will be calculated based on the expected useful life of the underlying asset.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the commencement date, the Company measures the lease liabilities at the present value of the future lease payments. In determining the lease term, extension and termination options are taken into account if it is reasonably certain that they will be exercised or not exercised. The lease payments include fixed payments (including in-substance fixed payments), less any lease incentives receivable, variable lease payments that depend on an index or rate and amounts expected to be payable under residual value guarantees. The lease payments further include the exercise price of a purchase option if the Company is reasonably certain to exercise that option and payments of penalties for terminating the lease if the lease term reflects the Company exercising an option to terminate the lease.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Variable lease payments, that do not depend on an index or a rate, are recognized in profit or loss in the period in which the event or condition that triggers those payments occurs.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has elected not to separate non-lease components from lease components, and instead accounts for each lease component and any associated non-lease components as a single lease component.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18"/>
          <w:szCs w:val="18"/>
          <w:color w:val="auto"/>
        </w:rPr>
        <w:t>When calculating the present value of the lease payments, the Company uses its interest rate implicit in the lease. If that rate cannot be readily determined, which is generally the case for leases, the lessee’s incremental borrowing rate is used, being the rate that the individual lessee would have to pay to borrow the funds necessary to obtain an asset of similar value to the right-of-use asset in a similar economic environment with similar terms, security and conditions. Following the commencement date, the amount of the lease liability is increased to reflect interest and reduced to reflect the lease payments made. In addition, the carrying amount of the lease liability is remeasured in the event of changes to the lease term, changes to the lease payments (e.g.; changes in future lease payments as a result of a change in an index or a rate used to determine those payments) or in the event of a change in the assessment of an option to purchase the underlying asset.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exemption for short-term leases (i.e.; leases whose term from the commencement date is a maximum of twelve months and which do not include a purchase option) for all asset classes. Lease payments for short- term leases are recognized as an expense on a straight-line basis over the lease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 expenses, professional fees, occupancy costs, depreciation expense, insurance expense, office expenses, security expenses, travel expenses, staff training expenses, utilities expenses, and subscription and dues expenses. Personnel-related costs include stock compensation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consist of salary and personnel related costs and third-party costs for the Company’s research and development activities. Personnel-related costs include stock compensation expenses. The largest component of third-party costs is for clinical trials, as well as manufacturing for clinical supplies and associated development, and pre-clinical studies. Research and development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primarily consist of personnel expenses. Personnel-related costs include stock compensation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 Share Appreciation Rights (“SARs”)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Cash-settled share-based compensation benefits, including Virtual Stock Option Plans (VSOPs), Employee Stock Options (ESOPs) and Share Appreciation Rights (SARs), are provided to employees in exchange for the rendering of services. These awards entitle the holder to a future cash payment (or other Company assets) based on the value of the Company’s equity instruments and are accounted for as liability-classified share-based payment transactions.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these liability-classified transactions is recognized as an expense, with a corresponding liability, over the vesting period. The liability is remeasured at fair value at the end of each reporting period and at the date of settlement, with any changes in fair value recognized in profit or loss for the period. The cumulative charge to net loss is calculated based on the fair value of the award at each reporting date,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non-vesting condition is within the control of the consolidated entity or employee, the failure to satisfy the condition is treated as a cancellation. If the condition is not within the control of the consolidated entity or employee and is not satisfied during the vesting period, any remaining expense for the award is recognized over the remaining vesting period, unless the award is forfeited.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Judgments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applying the Company’s accounting and valuation methods presented, management must assess facts, make estimates and judgements during the preparation of these consolidated financial statements regarding assumptions about current and future events affecting transactions and balances. These estimates and judgements are based on the best information available at the time of preparing the financial statements, however as additional information is known then the actual results may differ from the estimates. The significant estimates and judgements made have been described below.</w:t>
      </w:r>
    </w:p>
    <w:p>
      <w:pPr>
        <w:spacing w:after="0" w:line="180" w:lineRule="exact"/>
        <w:rPr>
          <w:sz w:val="20"/>
          <w:szCs w:val="20"/>
          <w:color w:val="auto"/>
        </w:rPr>
      </w:pPr>
    </w:p>
    <w:p>
      <w:pPr>
        <w:jc w:val="both"/>
        <w:ind w:left="660" w:hanging="328"/>
        <w:spacing w:after="0" w:line="255"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measures the cost of liability classified share based payment transactions, including contingent liabilities, Virtual Stock Option Plans (VSOPs) and Employee Stock Options (ESOPs) and Employee Stock Options (ESOPs),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CODM reviews financial information presented on a consolidated basis for purposes of making operating decisions, allocating resources, and evaluating financial performance. As such, the Company has determined that it operates as one operating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and amended standards and interpretations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standards, amendments to published approved accounting and reporting standards and interpretations which are effective during the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applied the following standards and amendments for the first time for its annual reporting for the period commencing January 1, 2024:</w:t>
      </w:r>
    </w:p>
    <w:p>
      <w:pPr>
        <w:spacing w:after="0" w:line="22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Presentation of Financial Statements - Classification of Liabilities as Current or Non-current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IFRS 16 Leases: Changes in the illustrative example related to Lease Liability in a Sale and Leaseback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7 and IFRS 7: Supplier Finance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21 - Lack of exchangeability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amendments listed above did not have any impact on the amounts recognized in prior periods and are not expected to significantly affect the current or future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amendments to published standards and interpretations that are not yet effective and have not been early adopted by the Company</w:t>
      </w:r>
    </w:p>
    <w:p>
      <w:pPr>
        <w:spacing w:after="0" w:line="22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to IFRS Accounting Standards, Volume 11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Referencing Nature-Dependent Electricity - Amendments to IFRS 9 and IFRS 7</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and Measurement of Financial Instruments - Amendments to IFRS 9 and IFRS 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18 – Presentation and Disclosure in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19 – Presentation and Disclosure in Financial Statements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Personnel expenses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8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87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3,342,552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IFRS 2 - Share-based payment on virtual options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38,556,750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15,407,873</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2 - Share-based payment on employee stock options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14,106,551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2,920,321</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Social expenses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744,285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458,029</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personnel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77,482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156,885</w:t>
            </w:r>
          </w:p>
        </w:tc>
        <w:tc>
          <w:tcPr>
            <w:tcW w:w="80" w:type="dxa"/>
            <w:vAlign w:val="bottom"/>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for employee benefits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56,827,620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22,049,213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2021, an employee participation program (share-based cash remuneration based on virtual options “VSOP”) was adopted. As part of this program, the virtual options vest over a period of 3 years. Similar to vesting, a corresponding personnel expense and a corresponding expense and liability is recognized. The participation program provides for benefits in the event of an exit transaction or in the event of profit distributions. The term of the virtual options is a maximum of 10 years from the date of issue, and the beneficiaries must be in a non-terminated position during the vesting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represents the VSOP share activity as of December 31, 2025 and 2024,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the year</w:t>
            </w: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1,228,679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1,267,931</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244,200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(39,252)</w:t>
            </w:r>
          </w:p>
        </w:tc>
      </w:tr>
      <w:tr>
        <w:trPr>
          <w:trHeight w:val="209"/>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the year</w:t>
            </w: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1,422,251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1,228,679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995,100 VSOP shares that the Company has committed to issue upon completing various financing milestones.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2021, our board of directors established the Employee Stock Option Plan (“ESOP”) as a one-off plan pursuant to which select eligible participants are directly allowed to purchase a specific number of common shares at a purchase price determined by the board of directors. For the year ended December 31, 2024, 140,400 shares were issued to members of management at par value, which were fully paid resulting in proceeds of CHF 140,400 and share-based compensation expense of CHF 2,920,321 recorded in General and administrative expenses. For the year ended December, 31, 2025, 347,452 shares were issued to members of management at par value, which were fully paid resulting in proceeds of CHF 347,452 and shared-based compensation expense of CHF 14,106,551. As of December 31, 2025 and 2024, no options were outstanding under the ESOP.</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represents the details of the property and equipment as of December 31, 2025 and December 31, 2024: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Assets under</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Furniture</w:t>
            </w:r>
          </w:p>
        </w:tc>
        <w:tc>
          <w:tcPr>
            <w:tcW w:w="12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Machines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improvement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Cost at 12/31/2023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635,762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2,236,176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2,881,695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120,877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(27,023)</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FX Effects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22,957</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Cost at 12/31/2024</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2,320,516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221,523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437,175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FX Effects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(19,589)</w:t>
            </w: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Cost at 12/31/2025</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741,098</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2,457,434</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207,777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3,416,092</w:t>
            </w: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(220,405)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(517,674)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(746,966)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(100,948)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(188,545)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(289,748)</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12/31/2024</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(706,219)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(142,718)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(227,677)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(394,401)</w:t>
            </w:r>
          </w:p>
        </w:tc>
        <w:tc>
          <w:tcPr>
            <w:tcW w:w="100" w:type="dxa"/>
            <w:vAlign w:val="bottom"/>
            <w:tcBorders>
              <w:bottom w:val="single" w:sz="8" w:color="CCEEFF"/>
            </w:tcBorders>
          </w:tcPr>
          <w:p>
            <w:pPr>
              <w:spacing w:after="0"/>
              <w:rPr>
                <w:sz w:val="18"/>
                <w:szCs w:val="18"/>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12/31/2025</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(464,071)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(933,896)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(1,431,115)</w:t>
            </w:r>
          </w:p>
        </w:tc>
        <w:tc>
          <w:tcPr>
            <w:tcW w:w="100" w:type="dxa"/>
            <w:vAlign w:val="bottom"/>
            <w:shd w:val="clear" w:color="auto" w:fill="CCEEFF"/>
          </w:tcPr>
          <w:p>
            <w:pPr>
              <w:spacing w:after="0"/>
              <w:rPr>
                <w:sz w:val="18"/>
                <w:szCs w:val="18"/>
                <w:color w:val="auto"/>
              </w:rPr>
            </w:pPr>
          </w:p>
        </w:tc>
      </w:tr>
      <w:tr>
        <w:trPr>
          <w:trHeight w:val="209"/>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12/31/2024</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346,867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1,614,297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1,961,792</w:t>
            </w:r>
          </w:p>
        </w:tc>
      </w:tr>
      <w:tr>
        <w:trPr>
          <w:trHeight w:val="197"/>
        </w:trPr>
        <w:tc>
          <w:tcPr>
            <w:tcW w:w="3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12/31/2025</w:t>
            </w:r>
          </w:p>
        </w:tc>
        <w:tc>
          <w:tcPr>
            <w:tcW w:w="14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277,027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1,523,538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184,041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1,984,977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and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represents the details of the intangible assets and goodwill as of December 31, 2025 and December 31, 2024: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process</w:t>
            </w:r>
          </w:p>
        </w:tc>
        <w:tc>
          <w:tcPr>
            <w:tcW w:w="100" w:type="dxa"/>
            <w:vAlign w:val="bottom"/>
          </w:tcPr>
          <w:p>
            <w:pPr>
              <w:spacing w:after="0"/>
              <w:rPr>
                <w:sz w:val="18"/>
                <w:szCs w:val="18"/>
                <w:color w:val="auto"/>
              </w:rPr>
            </w:pPr>
          </w:p>
        </w:tc>
        <w:tc>
          <w:tcPr>
            <w:tcW w:w="12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Trademark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R&amp;D (Flysin)</w:t>
            </w:r>
          </w:p>
        </w:tc>
        <w:tc>
          <w:tcPr>
            <w:tcW w:w="100" w:type="dxa"/>
            <w:vAlign w:val="bottom"/>
          </w:tcPr>
          <w:p>
            <w:pPr>
              <w:spacing w:after="0"/>
              <w:rPr>
                <w:sz w:val="20"/>
                <w:szCs w:val="20"/>
                <w:color w:val="auto"/>
              </w:rPr>
            </w:pPr>
          </w:p>
        </w:tc>
        <w:tc>
          <w:tcPr>
            <w:tcW w:w="12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200" w:type="dxa"/>
            <w:vAlign w:val="bottom"/>
          </w:tcPr>
          <w:p>
            <w:pPr>
              <w:spacing w:after="0"/>
              <w:rPr>
                <w:sz w:val="20"/>
                <w:szCs w:val="20"/>
                <w:color w:val="auto"/>
              </w:rPr>
            </w:pPr>
          </w:p>
        </w:tc>
        <w:tc>
          <w:tcPr>
            <w:tcW w:w="10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Cost at 12/31/2023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22,848,728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28,498,755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31,261,245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48,857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82,657,585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FX effects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Cost at 12/31/2024</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22,848,728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28,498,755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31,262,517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82,650,858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FX effects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Cost at 12/31/2025</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22,848,728</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28,498,755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31,263,333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40,866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82,651,682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(4,696,411)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(37,253)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(4,733,664)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(1,579,717)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(7,597)</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(1,587,314)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12/31/2024</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(6,276,128)</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(6,316,838)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(1,577,997)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12/31/2025</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(7,854,125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(40,866)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(7,894,991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12/31/2024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22,848,728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28,498,755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24,986,389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76,334,020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12/31/2025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22,848,728</w:t>
            </w: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28,498,755</w:t>
            </w: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23,409,208</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74,756,691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F-27</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Patent claims, in particular the patent claims of Veraxa Biotech GmbH and the former Company ARAXA, are summarized under the heading ‘Intangible asset - Trademark rights’. The intangible asset ‘Intangible– In-Process R&amp;D Flysin’ stems from the acquisition of the Company Synimmune; it is an antibody that has already successfully completed a Phase I trial.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on a straight-line basis, whenever possible over the term of patent protection (20 years). Amortization of intangible assets is under depreciation and amortization. Amortization begins with the commencement of use or revenue generation. In-process R&amp;D is not being amortized until completed, but instead is tested for impairment annually under IAS38. The annual impairment test for goodwill did not reveal any need for impairment.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a result of the ARAXA acquisition prior to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office space, factory facilities and storage space. The Company determines whether a contract is a lease or contains a lease at inception date. Upon commencement, the Company recognizes a right-of-use asset and lease liability. Currently, the Company holds two leases requiring recognition of a right-of-use asset for the lease term. Lease liabilities are the Company’s obligation to make the lease payments arising from a lease. As the Company’s lease does not provide an implicit rate, the Company’s lease liabilities are measured on a discounted basis using the Company’s incremental borrowing rate. Lease terms used in the recognition of right-of-use assets and lease liabilities include only options to extend the lease that are reasonably certain to be exercised. Additionally, lease terms underlying the right-of-use assets and lease liabilities consider terminations that are reasonably certain to be executed.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Company’s total cash outflow for leases was CHF 188,745. This consisted of CHF 164,640 for the principal portion of lease liabilities, presented within financing activities, and CHF 24,105 for interest paid on lease liabilities. Additionally, during the year, the Company recognized non-cash additions to right-of-use assets and lease liabilities amounting to CHF 440,802 in connection with a newly acquired lease.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weighted-average discount rate for the Company’s leases at December 31, 2025 and December 31, 2024: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7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 years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8"/>
              </w:rPr>
              <w:t>5.0 years</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maturities of the Company’s leases at December 31, 2025:</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291,276</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296,938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305,846</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315,022</w:t>
            </w:r>
          </w:p>
        </w:tc>
        <w:tc>
          <w:tcPr>
            <w:tcW w:w="0" w:type="dxa"/>
            <w:vAlign w:val="bottom"/>
          </w:tcPr>
          <w:p>
            <w:pPr>
              <w:spacing w:after="0"/>
              <w:rPr>
                <w:sz w:val="1"/>
                <w:szCs w:val="1"/>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lease payments</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(68,434)</w:t>
            </w:r>
          </w:p>
        </w:tc>
        <w:tc>
          <w:tcPr>
            <w:tcW w:w="0" w:type="dxa"/>
            <w:vAlign w:val="bottom"/>
          </w:tcPr>
          <w:p>
            <w:pPr>
              <w:spacing w:after="0"/>
              <w:rPr>
                <w:sz w:val="1"/>
                <w:szCs w:val="1"/>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lease liability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(257,095)</w:t>
            </w:r>
          </w:p>
        </w:tc>
        <w:tc>
          <w:tcPr>
            <w:tcW w:w="0" w:type="dxa"/>
            <w:vAlign w:val="bottom"/>
          </w:tcPr>
          <w:p>
            <w:pPr>
              <w:spacing w:after="0"/>
              <w:rPr>
                <w:sz w:val="1"/>
                <w:szCs w:val="1"/>
                <w:color w:val="auto"/>
              </w:rPr>
            </w:pPr>
          </w:p>
        </w:tc>
      </w:tr>
      <w:tr>
        <w:trPr>
          <w:trHeight w:val="210"/>
        </w:trPr>
        <w:tc>
          <w:tcPr>
            <w:tcW w:w="7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F-28</w:t>
            </w: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780" w:type="dxa"/>
            <w:vAlign w:val="bottom"/>
            <w:tcBorders>
              <w:bottom w:val="single" w:sz="8" w:color="auto"/>
            </w:tcBorders>
            <w:vMerge w:val="continue"/>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8700" w:type="dxa"/>
            <w:vAlign w:val="bottom"/>
          </w:tcPr>
          <w:p>
            <w:pPr>
              <w:spacing w:after="0"/>
              <w:rPr>
                <w:sz w:val="24"/>
                <w:szCs w:val="24"/>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253,718</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 (incl. emission levies on capital band)</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535,548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427,592</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Xlife share lending accrual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1,189,037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1,001,878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491,369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119,162</w:t>
            </w:r>
          </w:p>
        </w:tc>
      </w:tr>
      <w:tr>
        <w:trPr>
          <w:trHeight w:val="210"/>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2,675,623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 recognized in the income statement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taxes are calculated on the basis of an average income tax rate of 31% on the profits generated. This expected average tax rate corresponds to the expected tax rate in Germany, as this is where the operating activities take place.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0" w:type="dxa"/>
            <w:vAlign w:val="bottom"/>
          </w:tcPr>
          <w:p>
            <w:pPr>
              <w:spacing w:after="0"/>
              <w:rPr>
                <w:sz w:val="1"/>
                <w:szCs w:val="1"/>
                <w:color w:val="auto"/>
              </w:rPr>
            </w:pPr>
          </w:p>
        </w:tc>
      </w:tr>
      <w:tr>
        <w:trPr>
          <w:trHeight w:val="238"/>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income/expense in the current financial year</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deferred (tax expense)/tax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392,603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620,774</w:t>
            </w:r>
          </w:p>
        </w:tc>
        <w:tc>
          <w:tcPr>
            <w:tcW w:w="0" w:type="dxa"/>
            <w:vAlign w:val="bottom"/>
          </w:tcPr>
          <w:p>
            <w:pPr>
              <w:spacing w:after="0"/>
              <w:rPr>
                <w:sz w:val="1"/>
                <w:szCs w:val="1"/>
                <w:color w:val="auto"/>
              </w:rPr>
            </w:pPr>
          </w:p>
        </w:tc>
      </w:tr>
      <w:tr>
        <w:trPr>
          <w:trHeight w:val="209"/>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Reported tax income for the current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392,603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 income taxes were recognized directly in equity or in other comprehensive income in the financial year.</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tax expense/income for the financial year can be reconciled to the profit/loss for the period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8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(67,006,593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(28,753,745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 at a tax rate of 31%</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2"/>
            <w:vMerge w:val="continue"/>
          </w:tcPr>
          <w:p>
            <w:pPr>
              <w:spacing w:after="0"/>
              <w:rPr>
                <w:sz w:val="17"/>
                <w:szCs w:val="17"/>
                <w:color w:val="auto"/>
              </w:rPr>
            </w:pP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20,772,044</w:t>
            </w:r>
          </w:p>
        </w:tc>
        <w:tc>
          <w:tcPr>
            <w:tcW w:w="220" w:type="dxa"/>
            <w:vAlign w:val="bottom"/>
            <w:vMerge w:val="continue"/>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8,913,661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tax assets due to derecognition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non-tax-deductible expenses and income</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(12,336,984)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(5,420,625)</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results for which no deferred taxes were recognized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(7,523,688)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(2,666,379)</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losses for which deferred tax assets were recognized</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differences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(428,768)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(205,883)</w:t>
            </w:r>
          </w:p>
        </w:tc>
        <w:tc>
          <w:tcPr>
            <w:tcW w:w="0" w:type="dxa"/>
            <w:vAlign w:val="bottom"/>
          </w:tcPr>
          <w:p>
            <w:pPr>
              <w:spacing w:after="0"/>
              <w:rPr>
                <w:sz w:val="1"/>
                <w:szCs w:val="1"/>
                <w:color w:val="auto"/>
              </w:rPr>
            </w:pPr>
          </w:p>
        </w:tc>
      </w:tr>
      <w:tr>
        <w:trPr>
          <w:trHeight w:val="2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amount recognized in the income statement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482,603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F-29</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70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9. Deferred taxes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tax assets were not recognized with regard to the following items, as it is not yet possible to estimate whether taxable income will be available in the future against which the Company can use the deferred tax assets.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200" w:type="dxa"/>
            <w:vAlign w:val="bottom"/>
          </w:tcPr>
          <w:p>
            <w:pPr>
              <w:spacing w:after="0"/>
              <w:rPr>
                <w:sz w:val="20"/>
                <w:szCs w:val="2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(Switzerland)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19,610,769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11,163,549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 (Germany)</w:t>
            </w: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34,639,558</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25,153,116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unrecognized deferred tax assets (expiring until 2028)</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54,250,327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36,316,665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Possible tax effect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w w:val="96"/>
              </w:rPr>
              <w:t>16,817,601</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10,197,629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increase expenses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1,639,197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Balancing</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(1,639,197)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(1,397,446)</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recognition of deferred tax assets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from addition Veraxa Biotech GmbH</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(9,652,055)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from addition Synimmune GmbH</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(8,840,889)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(8,840,889)</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2,413,015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1,930,412</w:t>
            </w:r>
          </w:p>
        </w:tc>
        <w:tc>
          <w:tcPr>
            <w:tcW w:w="0" w:type="dxa"/>
            <w:vAlign w:val="bottom"/>
          </w:tcPr>
          <w:p>
            <w:pPr>
              <w:spacing w:after="0"/>
              <w:rPr>
                <w:sz w:val="1"/>
                <w:szCs w:val="1"/>
                <w:color w:val="auto"/>
              </w:rPr>
            </w:pPr>
          </w:p>
        </w:tc>
      </w:tr>
      <w:tr>
        <w:trPr>
          <w:trHeight w:val="2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amount of deferred tax liabilities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(16,079,929)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(16,562,532)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Balancing</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1,639,197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1,397,446</w:t>
            </w:r>
          </w:p>
        </w:tc>
        <w:tc>
          <w:tcPr>
            <w:tcW w:w="0" w:type="dxa"/>
            <w:vAlign w:val="bottom"/>
          </w:tcPr>
          <w:p>
            <w:pPr>
              <w:spacing w:after="0"/>
              <w:rPr>
                <w:sz w:val="1"/>
                <w:szCs w:val="1"/>
                <w:color w:val="auto"/>
              </w:rPr>
            </w:pPr>
          </w:p>
        </w:tc>
      </w:tr>
      <w:tr>
        <w:trPr>
          <w:trHeight w:val="2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recognition of deferred tax liabilities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(14,440,732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(15,165,086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Share capital</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shares have a nominal value of CHF 1.00, each carry voting rights and are entitled to dividends.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balance as of beginning of year</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14,182,189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reporting year</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568,878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772,976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balance as of year end</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14,751,067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reserves includes foreign currency translation reserves.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80" w:type="dxa"/>
            <w:vAlign w:val="bottom"/>
          </w:tcPr>
          <w:p>
            <w:pPr>
              <w:spacing w:after="0"/>
              <w:rPr>
                <w:sz w:val="20"/>
                <w:szCs w:val="20"/>
                <w:color w:val="auto"/>
              </w:rPr>
            </w:pPr>
          </w:p>
        </w:tc>
        <w:tc>
          <w:tcPr>
            <w:tcW w:w="5720" w:type="dxa"/>
            <w:vAlign w:val="bottom"/>
            <w:gridSpan w:val="2"/>
          </w:tcPr>
          <w:p>
            <w:pPr>
              <w:ind w:left="50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authorized share capital</w:t>
            </w:r>
          </w:p>
        </w:tc>
        <w:tc>
          <w:tcPr>
            <w:tcW w:w="46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Capital band (Article 3b)</w:t>
            </w:r>
          </w:p>
        </w:tc>
        <w:tc>
          <w:tcPr>
            <w:tcW w:w="5940" w:type="dxa"/>
            <w:vAlign w:val="bottom"/>
            <w:gridSpan w:val="3"/>
          </w:tcPr>
          <w:p>
            <w:pPr>
              <w:ind w:left="5020"/>
              <w:spacing w:after="0"/>
              <w:rPr>
                <w:sz w:val="20"/>
                <w:szCs w:val="20"/>
                <w:color w:val="auto"/>
              </w:rPr>
            </w:pPr>
            <w:r>
              <w:rPr>
                <w:rFonts w:ascii="Times New Roman" w:cs="Times New Roman" w:eastAsia="Times New Roman" w:hAnsi="Times New Roman"/>
                <w:sz w:val="18"/>
                <w:szCs w:val="18"/>
                <w:color w:val="auto"/>
              </w:rPr>
              <w:t>4,115,039</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4,683,918</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Conditional share capital (Article 3a)</w:t>
            </w:r>
          </w:p>
        </w:tc>
        <w:tc>
          <w:tcPr>
            <w:tcW w:w="5940" w:type="dxa"/>
            <w:vAlign w:val="bottom"/>
            <w:gridSpan w:val="3"/>
            <w:shd w:val="clear" w:color="auto" w:fill="CCEEFF"/>
          </w:tcPr>
          <w:p>
            <w:pPr>
              <w:ind w:left="5000"/>
              <w:spacing w:after="0"/>
              <w:rPr>
                <w:sz w:val="20"/>
                <w:szCs w:val="20"/>
                <w:color w:val="auto"/>
              </w:rPr>
            </w:pPr>
            <w:r>
              <w:rPr>
                <w:rFonts w:ascii="Times New Roman" w:cs="Times New Roman" w:eastAsia="Times New Roman" w:hAnsi="Times New Roman"/>
                <w:sz w:val="18"/>
                <w:szCs w:val="18"/>
                <w:color w:val="auto"/>
              </w:rPr>
              <w:t>7,000,000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7,000,000</w:t>
            </w:r>
          </w:p>
        </w:tc>
      </w:tr>
      <w:tr>
        <w:trPr>
          <w:trHeight w:val="561"/>
        </w:trPr>
        <w:tc>
          <w:tcPr>
            <w:tcW w:w="40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8"/>
                <w:szCs w:val="18"/>
                <w:color w:val="auto"/>
              </w:rPr>
              <w:t>F-30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78" w:name="page79"/>
    <w:bookmarkEnd w:id="78"/>
    <w:p>
      <w:pPr>
        <w:ind w:right="8040" w:firstLine="8"/>
        <w:spacing w:after="0" w:line="532" w:lineRule="auto"/>
        <w:tabs>
          <w:tab w:leader="none" w:pos="26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Transactions with related parties Company Consulting Services Agreement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 2022, the Company entered into a consulting services agreement with Xlife Sciences AG, one of their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years ended December 31, 2025 and 2024, Veraxa paid Xlife Sciences AG an aggregate amount of CHF 360,000 and CHF 600,000, respectively, under this arrangement. As of December 31, 2025 and 2024, no amounts were payable under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Share Lending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2024, the Company entered into a share lending agreement with Xlife Sciences AG, one of their shareholders, for a fixed term ending on June 30, 2026. Under the terms of the agreement, Xlife Sciences AG agreed to lend the Company 1,000,000 of our ordinary shares. In consideration for the share loan, the Company agreed to pay Xlife Sciences AG a fee equal to 3.5% of the aggregate market value of the loaned shares over the duration of the agreement. As of December 31, 2025, there were 23,242 shares owed to Xlife Sciences AG which are not settled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Loan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15, 2025, the Company also entered into an unsecured loan agreement with Xlife Sciences AG, for a principal amount of CHF 1,000,000. The loan was set to mature on December 31, 2025 and was subsequently extended to a mature on September 30, 2026, at which time the principal must be repaid in a single lump sum. The debt bears a fixed interest rate of 2.5% per annum, payable monthly, which is subject to adjustment if the tax-recognized interest rate for foreign currency loans published by the FTA exceeds 2.5%. Xlife Sciences AG retains the right to accelerate the debt and demand immediate repayment for good cause, including uncured payment defaults or a material deterioration in the Company’s financial circumstances that puts the fulfillment of the agreement at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to or from related companies and persons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 Xlife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 related party (Veraxa Biotech Holding AG)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Xlife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Prepaid benefit receipt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Disclosures on financial instruments Capital risk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capital with the aim of ensuring that the Company can operate under the going concern assumption and at the same time maximizing the income of the Company’s stakeholders by optimizing the ratio of equity to debt. The Company’s capital structure consists of net debt and the Company’s equity. This is made up of the equivalent value of issued shares, the capital reserve and the balance sheet carry-forward. The Company is not subject to any externally imposed capital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 management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Ultimately, responsibility for liquidity risk management lies with the Board of Directors, which has developed an appropriate concept for managing short, medium and long-term financing and liquidity requirements.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Market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Currency risks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exchange rates can lead to losses in the value of financial instruments and to adverse changes in future cash flows from planned transactions. Due to the current focus of the Company’s business on Switzerland and Germany, there are currently primarily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Currency risks from the CHF to EUR exchange rate. Based on the transactions planned to date and the existing financial instruments, the effect of an exchange rate change of +/- 10% is expected to be around +/-300,000 estimated.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 risks exist due to potential changes in market interest rates and can lead to a change in the fair value of fixed interest financial instruments and fluctuations in interest payments for variable-interest financial instruments. The following table shows that there is currently no significant interest rate risk for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Cluster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its cash and cash equivalents at various commercial banks with at least an A rating.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Categories of financial instruments: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1,613,989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5,362,638</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measured at amortized cost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1,270,594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243,688</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amortized cost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2,681,092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587,389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the financial assets and financial liabilities approximate their fair values.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prepaid assets, accounts payable and accrued expenses are estimated to approximate the carrying values as of December 31, 2025 and 2024, due to the short maturities of such instruments.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on December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SARs</w:t>
            </w:r>
          </w:p>
        </w:tc>
      </w:tr>
      <w:tr>
        <w:trPr>
          <w:trHeight w:val="238"/>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SARs liability, January 1, 2024</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7,248,741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8,159,132</w:t>
            </w:r>
          </w:p>
        </w:tc>
      </w:t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SARs liability, December 31, 2024</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33,192,793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15,795,532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22,761,218</w:t>
            </w:r>
          </w:p>
        </w:tc>
      </w:tr>
      <w:tr>
        <w:trPr>
          <w:trHeight w:val="209"/>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SARs liability, December 31, 2025</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71,749,543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38"/>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 January 1, 2024</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474,538</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 December 31, 2024</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799,168</w:t>
            </w:r>
          </w:p>
        </w:tc>
        <w:tc>
          <w:tcPr>
            <w:tcW w:w="0" w:type="dxa"/>
            <w:vAlign w:val="bottom"/>
          </w:tcPr>
          <w:p>
            <w:pPr>
              <w:spacing w:after="0"/>
              <w:rPr>
                <w:sz w:val="1"/>
                <w:szCs w:val="1"/>
                <w:color w:val="auto"/>
              </w:rPr>
            </w:pPr>
          </w:p>
        </w:tc>
      </w:tr>
      <w:tr>
        <w:trPr>
          <w:trHeight w:val="209"/>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 December 31, 2025</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Below are the key assumptions used in valuing the SARs and contingent liability:</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6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December 31, 2025 and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utilized the most recent observable stock purchase price from arm’s-length transactions involving the Company’s common stock to estimate the fair value of its common stock and stock options. Management determined that the latest transaction price represented the best available indicator of fair value as it reflected contemporaneous market participant assumptions and pricing obtained in connection with third-party equity financings.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utilized a third-party valuation specialist to calculate the fair value of Veraxa’s options and common stock. Veraxa’s options were valued using an intrinsic value calculation where the value of each option was calculated as the fair value of common stock less the exercise price, weighted between a “stay private” scenario and a “DeSPAC” scenario.</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“stay private” scenario was calculated using both an income approach (i. e. discounted cash flow method) and a market approach (i.e. a market roll-forward of the implied (back solved) equity value based on latest third-party financings from August 23, 2024). Some of the more significant assumptions utilized in the discounted cash flow method included projected revenues, probability of commercial success, and the discount rate. The fair value using the discounted cash flow method was determined using an estimated weighted average cost of capital of 25.5% in the “stay-private” scenario, which reflects the risks inherent in future cash flow projections and represents a rate of return that a market participant would expect for this asset. As of December 31, 2025, there was no change to approach for stay private scenario.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“DeSPAC” scenario was calculated using the DeSPAC term sheet or non-binding letter of interest (“LOI”) dated February 28, 2025, noting that this letter was known or knowable as of December 31, 2024. As of December 31, 2025 the valuation was updated for the DeSPAC signing of the Business Combination and probability of the DeSPAC occurring based off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fair value measurement was based on significant inputs not observable in the market and thus represent Level 3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basic and diluted loss per share are identical, as the inclusion of all potential ordinary shares would be antidilutive due to the loss incurred for the periods. The following table sets forth the computation of basic and diluted loss per share:</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available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003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 w:lineRule="exact"/>
        <w:rPr>
          <w:sz w:val="20"/>
          <w:szCs w:val="20"/>
          <w:color w:val="auto"/>
        </w:rPr>
      </w:pPr>
    </w:p>
    <w:p>
      <w:pPr>
        <w:ind w:left="180" w:hanging="161"/>
        <w:spacing w:after="0" w:line="260" w:lineRule="auto"/>
        <w:rPr>
          <w:sz w:val="20"/>
          <w:szCs w:val="20"/>
          <w:color w:val="auto"/>
        </w:rPr>
      </w:pPr>
      <w:r>
        <w:rPr>
          <w:rFonts w:ascii="Times New Roman" w:cs="Times New Roman" w:eastAsia="Times New Roman" w:hAnsi="Times New Roman"/>
          <w:sz w:val="18"/>
          <w:szCs w:val="18"/>
          <w:color w:val="auto"/>
        </w:rPr>
        <w:t>Weighted-average common shares outstanding used in computing loss per share available to common stockholders, basic and diluted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no options were outstanding under the ESOP (Note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opinion of the Executive team, the Company did not have any contingencies as of December 31, 2025.</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198" w:lineRule="exact"/>
        <w:rPr>
          <w:sz w:val="20"/>
          <w:szCs w:val="20"/>
          <w:color w:val="auto"/>
        </w:rPr>
      </w:pPr>
    </w:p>
    <w:p>
      <w:pPr>
        <w:spacing w:after="0"/>
        <w:tabs>
          <w:tab w:leader="none" w:pos="240" w:val="left"/>
          <w:tab w:leader="none" w:pos="1320" w:val="left"/>
          <w:tab w:leader="none" w:pos="156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(66,613,990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
        <w:t>₣</w:t>
        <w:tab/>
        <w:t>(28,132,971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14,474,974</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14,051,547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97"/>
        </w:trPr>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(4.60</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8" w:lineRule="exact"/>
        <w:rPr>
          <w:sz w:val="20"/>
          <w:szCs w:val="20"/>
          <w:color w:val="auto"/>
        </w:rPr>
      </w:pPr>
    </w:p>
    <w:p>
      <w:pPr>
        <w:sectPr>
          <w:pgSz w:w="11900" w:h="16838" w:orient="portrait"/>
          <w:cols w:equalWidth="0" w:num="2">
            <w:col w:w="8320" w:space="360"/>
            <w:col w:w="2560"/>
          </w:cols>
          <w:pgMar w:left="320" w:top="796" w:right="339" w:bottom="1440" w:gutter="0" w:footer="0" w:header="0"/>
          <w:type w:val="continuous"/>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16. Segment disclosures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reportable segment, focused on the research and development of products for the aging population. This segment is identified based on how the Company’s chief operating decision maker (CODM) reviews performance and allocates resources.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of the Company’s single segment are measured based on: research and development (R&amp;D) expenses, including personnel costs, clinical trials, and regulatory filings; grant funding and partnership revenue, when applicable; general and administrative cost, which support operational infrastructure; finance costs, including loan interest and transaction fees.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per IFRS 8 guidance and the July 2024 IFRIC agenda decision, the Company discloses material income and expense items that contribute to the assessment of segment performance, even if they are not separately reviewed by the CODM.</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87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(7,965)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(46,922,232)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(17,095,133)</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(10,264,123)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(6,310,608)</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(6,948,456)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(3,635,658)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(2,097,225)</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(1,876,482)</w:t>
            </w:r>
          </w:p>
        </w:tc>
      </w:tr>
      <w:tr>
        <w:trPr>
          <w:trHeight w:val="209"/>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(66,216,575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(28,917,881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Events Occurring After the Reporting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were authorized for issue by the board of directors.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the financial statements were issued, and determined that the following subsequent events required disclosure in the accompanying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Trail Financing Agreement</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27, 2026, SPAC, PubCo and High Trail Capital LP (“</w:t>
      </w:r>
      <w:r>
        <w:rPr>
          <w:rFonts w:ascii="Times New Roman" w:cs="Times New Roman" w:eastAsia="Times New Roman" w:hAnsi="Times New Roman"/>
          <w:sz w:val="18"/>
          <w:szCs w:val="18"/>
          <w:b w:val="1"/>
          <w:bCs w:val="1"/>
          <w:color w:val="auto"/>
        </w:rPr>
        <w:t>HTC</w:t>
      </w:r>
      <w:r>
        <w:rPr>
          <w:rFonts w:ascii="Times New Roman" w:cs="Times New Roman" w:eastAsia="Times New Roman" w:hAnsi="Times New Roman"/>
          <w:sz w:val="18"/>
          <w:szCs w:val="18"/>
          <w:color w:val="auto"/>
        </w:rPr>
        <w:t>”) executed a Securities Purchase Agreement in respect of a private placement of a senior secured note in the principal amount of $27,500,000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a four-year warrant for an aggregate exercise price of $27.5 million, with an initial exercise price of $11.50 per share (with customary anti-dilution protections) (the “</w:t>
      </w:r>
      <w:r>
        <w:rPr>
          <w:rFonts w:ascii="Times New Roman" w:cs="Times New Roman" w:eastAsia="Times New Roman" w:hAnsi="Times New Roman"/>
          <w:sz w:val="18"/>
          <w:szCs w:val="18"/>
          <w:b w:val="1"/>
          <w:bCs w:val="1"/>
          <w:color w:val="auto"/>
        </w:rPr>
        <w:t>HTC Financing</w:t>
      </w:r>
      <w:r>
        <w:rPr>
          <w:rFonts w:ascii="Times New Roman" w:cs="Times New Roman" w:eastAsia="Times New Roman" w:hAnsi="Times New Roman"/>
          <w:sz w:val="18"/>
          <w:szCs w:val="18"/>
          <w:color w:val="auto"/>
        </w:rPr>
        <w:t>”). The closing of the HTC Financing occurred on June 15, 2026. The term of the Note is 15 months, amortizing monthly beginning six months after the closing of the HTC Financing. At PubCo’s sole option and subject to customary conditions, any amortization payment may be made in cash, in registered-for-resale shares of common stock, or a combination thereof. The Note is a senior secured obligation of PubCo, secured by all PubCo assets and ranking senior to all other PubCo obligations. Funding occurred concurrently with the closing of the HTC Financing.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LPC Purchase Agreement</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27, 2026, Voyager, PubCo and Lincoln Park Capital Fund, LLC (“</w:t>
      </w:r>
      <w:r>
        <w:rPr>
          <w:rFonts w:ascii="Times New Roman" w:cs="Times New Roman" w:eastAsia="Times New Roman" w:hAnsi="Times New Roman"/>
          <w:sz w:val="18"/>
          <w:szCs w:val="18"/>
          <w:b w:val="1"/>
          <w:bCs w:val="1"/>
          <w:color w:val="auto"/>
        </w:rPr>
        <w:t>Lincoln Park</w:t>
      </w:r>
      <w:r>
        <w:rPr>
          <w:rFonts w:ascii="Times New Roman" w:cs="Times New Roman" w:eastAsia="Times New Roman" w:hAnsi="Times New Roman"/>
          <w:sz w:val="18"/>
          <w:szCs w:val="18"/>
          <w:color w:val="auto"/>
        </w:rPr>
        <w:t>”) entered into a purchase agreement (the “</w:t>
      </w:r>
      <w:r>
        <w:rPr>
          <w:rFonts w:ascii="Times New Roman" w:cs="Times New Roman" w:eastAsia="Times New Roman" w:hAnsi="Times New Roman"/>
          <w:sz w:val="18"/>
          <w:szCs w:val="18"/>
          <w:b w:val="1"/>
          <w:bCs w:val="1"/>
          <w:color w:val="auto"/>
        </w:rPr>
        <w:t>LPC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a related registration rights agreement (together, the “</w:t>
      </w:r>
      <w:r>
        <w:rPr>
          <w:rFonts w:ascii="Times New Roman" w:cs="Times New Roman" w:eastAsia="Times New Roman" w:hAnsi="Times New Roman"/>
          <w:sz w:val="18"/>
          <w:szCs w:val="18"/>
          <w:b w:val="1"/>
          <w:bCs w:val="1"/>
          <w:color w:val="auto"/>
        </w:rPr>
        <w:t>LPC Agreements</w:t>
      </w:r>
      <w:r>
        <w:rPr>
          <w:rFonts w:ascii="Times New Roman" w:cs="Times New Roman" w:eastAsia="Times New Roman" w:hAnsi="Times New Roman"/>
          <w:sz w:val="18"/>
          <w:szCs w:val="18"/>
          <w:color w:val="auto"/>
        </w:rPr>
        <w:t>”), pursuant to which Lincoln Park committed to purchase,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PubCo’s sole direction from time to time over a 24-month period, up to an aggregate of $50,000,000 of PubCo Ordinary Shares at market-based purchase prices, subject to certain conditions and limitations, including a 4.99% beneficial ownership cap (increasable to 9.99% upon 61 days’ prior written notice) (the “</w:t>
      </w:r>
      <w:r>
        <w:rPr>
          <w:rFonts w:ascii="Times New Roman" w:cs="Times New Roman" w:eastAsia="Times New Roman" w:hAnsi="Times New Roman"/>
          <w:sz w:val="18"/>
          <w:szCs w:val="18"/>
          <w:b w:val="1"/>
          <w:bCs w:val="1"/>
          <w:color w:val="auto"/>
        </w:rPr>
        <w:t>LPC Financing</w:t>
      </w:r>
      <w:r>
        <w:rPr>
          <w:rFonts w:ascii="Times New Roman" w:cs="Times New Roman" w:eastAsia="Times New Roman" w:hAnsi="Times New Roman"/>
          <w:sz w:val="18"/>
          <w:szCs w:val="18"/>
          <w:color w:val="auto"/>
        </w:rPr>
        <w:t>”). As consideration for Lincoln Park’s commitment, PubCo shall issue to Lincoln Park $750,000 of PubCo Ordinary Shares (the “</w:t>
      </w:r>
      <w:r>
        <w:rPr>
          <w:rFonts w:ascii="Times New Roman" w:cs="Times New Roman" w:eastAsia="Times New Roman" w:hAnsi="Times New Roman"/>
          <w:sz w:val="18"/>
          <w:szCs w:val="18"/>
          <w:b w:val="1"/>
          <w:bCs w:val="1"/>
          <w:color w:val="auto"/>
        </w:rPr>
        <w:t>Commitment Shares</w:t>
      </w:r>
      <w:r>
        <w:rPr>
          <w:rFonts w:ascii="Times New Roman" w:cs="Times New Roman" w:eastAsia="Times New Roman" w:hAnsi="Times New Roman"/>
          <w:sz w:val="18"/>
          <w:szCs w:val="18"/>
          <w:color w:val="auto"/>
        </w:rPr>
        <w:t>”), subject to the occurrence of the Merger Closing. PubCo has the right to terminate the LPC Purchase Agreement at any time after the commencement date with one business day’s prior written notice to Lincoln Park, at no cost or penalty.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CF&amp;CO Fee Modification Agreement</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27, 2026, Voyager, PubCo and Cantor Fitzgerald &amp; Co. (“</w:t>
      </w:r>
      <w:r>
        <w:rPr>
          <w:rFonts w:ascii="Times New Roman" w:cs="Times New Roman" w:eastAsia="Times New Roman" w:hAnsi="Times New Roman"/>
          <w:sz w:val="18"/>
          <w:szCs w:val="18"/>
          <w:b w:val="1"/>
          <w:bCs w:val="1"/>
          <w:color w:val="auto"/>
        </w:rPr>
        <w:t>CF&amp;CO</w:t>
      </w:r>
      <w:r>
        <w:rPr>
          <w:rFonts w:ascii="Times New Roman" w:cs="Times New Roman" w:eastAsia="Times New Roman" w:hAnsi="Times New Roman"/>
          <w:sz w:val="18"/>
          <w:szCs w:val="18"/>
          <w:color w:val="auto"/>
        </w:rPr>
        <w:t>”) executed a Fee Modification Agreement (the “</w:t>
      </w:r>
      <w:r>
        <w:rPr>
          <w:rFonts w:ascii="Times New Roman" w:cs="Times New Roman" w:eastAsia="Times New Roman" w:hAnsi="Times New Roman"/>
          <w:sz w:val="18"/>
          <w:szCs w:val="18"/>
          <w:b w:val="1"/>
          <w:bCs w:val="1"/>
          <w:color w:val="auto"/>
        </w:rPr>
        <w:t>Fee Modification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parties agreed to modify the payment terms of the $12,045,000 deferred underwriting commission (the “</w:t>
      </w:r>
      <w:r>
        <w:rPr>
          <w:rFonts w:ascii="Times New Roman" w:cs="Times New Roman" w:eastAsia="Times New Roman" w:hAnsi="Times New Roman"/>
          <w:sz w:val="18"/>
          <w:szCs w:val="18"/>
          <w:b w:val="1"/>
          <w:bCs w:val="1"/>
          <w:color w:val="auto"/>
        </w:rPr>
        <w:t>Original Deferred Fee</w:t>
      </w:r>
      <w:r>
        <w:rPr>
          <w:rFonts w:ascii="Times New Roman" w:cs="Times New Roman" w:eastAsia="Times New Roman" w:hAnsi="Times New Roman"/>
          <w:sz w:val="18"/>
          <w:szCs w:val="18"/>
          <w:color w:val="auto"/>
        </w:rPr>
        <w:t>”) owed to CF&amp;CO under the Underwriting Agreement dated August 8, 2024 (the “</w:t>
      </w:r>
      <w:r>
        <w:rPr>
          <w:rFonts w:ascii="Times New Roman" w:cs="Times New Roman" w:eastAsia="Times New Roman" w:hAnsi="Times New Roman"/>
          <w:sz w:val="18"/>
          <w:szCs w:val="18"/>
          <w:b w:val="1"/>
          <w:bCs w:val="1"/>
          <w:color w:val="auto"/>
        </w:rPr>
        <w:t>CF&amp;CO Fee Modification</w:t>
      </w:r>
      <w:r>
        <w:rPr>
          <w:rFonts w:ascii="Times New Roman" w:cs="Times New Roman" w:eastAsia="Times New Roman" w:hAnsi="Times New Roman"/>
          <w:sz w:val="18"/>
          <w:szCs w:val="18"/>
          <w:color w:val="auto"/>
        </w:rPr>
        <w:t>”). Under the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Agreement, the Original Deferred Fee was replaced with a modified deferred fee consisting of (i) a cash fee of $1,000,000 ($500,000 payable at the Closing and $500,000 payable on or prior to the one-year anniversary of the Closing) and (ii) $7,000,000 in shares of PubCo common stock (the “</w:t>
      </w:r>
      <w:r>
        <w:rPr>
          <w:rFonts w:ascii="Times New Roman" w:cs="Times New Roman" w:eastAsia="Times New Roman" w:hAnsi="Times New Roman"/>
          <w:sz w:val="18"/>
          <w:szCs w:val="18"/>
          <w:b w:val="1"/>
          <w:bCs w:val="1"/>
          <w:color w:val="auto"/>
        </w:rPr>
        <w:t>CF&amp;CO Fee Shares</w:t>
      </w:r>
      <w:r>
        <w:rPr>
          <w:rFonts w:ascii="Times New Roman" w:cs="Times New Roman" w:eastAsia="Times New Roman" w:hAnsi="Times New Roman"/>
          <w:sz w:val="18"/>
          <w:szCs w:val="18"/>
          <w:color w:val="auto"/>
        </w:rPr>
        <w:t>”), payable in two tranches ($2,300,000 no later than 30 days following the Closing and $4,700,000 no later than 90 days following the Closing), with the number of CF&amp;CO Fee Shares determined based on the greater of $10.00 per share and the five-day VWAP preceding the applicable registration statement filing date. The CF&amp;CO Fee Shares are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0320" w:type="dxa"/>
            <w:vAlign w:val="bottom"/>
            <w:gridSpan w:val="19"/>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5"/>
          </w:tcPr>
          <w:p>
            <w:pPr>
              <w:jc w:val="center"/>
              <w:ind w:right="47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94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140" w:type="dxa"/>
            <w:vAlign w:val="bottom"/>
            <w:tcBorders>
              <w:top w:val="single" w:sz="8" w:color="auto"/>
              <w:bottom w:val="single" w:sz="8" w:color="0000EE"/>
            </w:tcBorders>
            <w:gridSpan w:val="1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Amended and Restated Articles of Association of Veraxa Biotech Holding AG (Company Articles)</w:t>
            </w:r>
          </w:p>
        </w:tc>
        <w:tc>
          <w:tcPr>
            <w:tcW w:w="29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Warrant Agreement, dated August 8, 2024, by and between Voyager Acquisition Corp. and Continental Stock Transfer &amp; Trust Company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(incorporated by reference to Exhibit 4.1 to SPAC’s Current Report on Form 8-K (File No. 001-42211) filed with the SEC on August 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12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2024)</w:t>
              </w:r>
            </w:hyperlink>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Private Placement Warrants Purchase Agreement dated August 8, 2024, by and among Voyager Acquisition Corp. and Voyager Sponsor</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Acquisition Holdco LLC (incorporated by reference to Exhibit 10.4 to the SPAC’s Current Report on Form 8-K (File No. 001-42211) filed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on August 14, 2024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Private Placement Warrants Purchase Agreement dated August 8, 2024, by and among Voyager Acquisition Corp., Cantor Fitzgerald &amp; Co.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and Odean Capital Group LLC (incorporated by reference to Exhibit 10.5 to the SPAC’s Current Report on Form 8-K (File No. 001-42211)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filed on August 14, 2024</w:t>
              </w:r>
            </w:hyperlink>
          </w:p>
        </w:tc>
        <w:tc>
          <w:tcPr>
            <w:tcW w:w="8300" w:type="dxa"/>
            <w:vAlign w:val="bottom"/>
            <w:tcBorders>
              <w:bottom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Warrant Assignment, Assumption and Amendment Agreement, dated June 10, 2026, by and among Voyager Acquisition Corp., Veraxa</w:t>
            </w:r>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Biotech Holding AG and Continental Stock Transfer &amp; Trust Company</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Business Combination Agreement, dated April 22, 2025, by and among Voyager Acquisition Corp., Veraxa Biotech AG and Oliver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Baumann (incorporated by reference to Exhibit 2.1 to SPAC’s Current Report on Form 8-K (File No. 001-42211)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April 23, 2025)</w:t>
              </w:r>
            </w:hyperlink>
          </w:p>
        </w:tc>
        <w:tc>
          <w:tcPr>
            <w:tcW w:w="8980" w:type="dxa"/>
            <w:vAlign w:val="bottom"/>
            <w:tcBorders>
              <w:bottom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Amendment to Business Combination Agreement, dated October 18, 2025, by and among Voyager Acquisition Corp., Veraxa Biotech AG,</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and Oliver Baumann (incorporated by reference to Exhibit 2.1 to SPAC’s Current Report on Form 8-K (File No. 001-42211) filed with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SEC on October 21, 2025)</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Second Amendment and Waiver to Business Combination Agreement, dated February 2, 2026, by and among Voyager Acquisition Corp.,</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Veraxa Biotech AG, and Oliver Baumann (incorporated by reference to Exhibit 2.1 to SPAC’s Current Report on Form 8-K (File No. 001-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42211) filed with the SEC on February 3,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Joinder Agreement, dated July 26, 2025, by and among Voyager Acquisition Corp., Veraxa Biotech AG, Oliver Baumann, Veraxa Biotech</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Holding AG and Veraxa Cayman Merger Sub (incorporated by reference to Exhibit 10.1 of SPAC’s Current Report on Form 8-K (File No.</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001-42211) filed with the SEC on July 16, 2025).</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Sponsor Support Agreement, dated April 22, 2025, by and among Voyager Acquisition Corp., Veraxa Biotech AG and Voyager Acquisition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Sponsor Holdco LLC (incorporated by reference to Exhibit 10.2 to SPAC’s Current Report on Form 8-K (File No. 001-42211)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SEC on April 23, 2025)</w:t>
              </w:r>
            </w:hyperlink>
          </w:p>
        </w:tc>
        <w:tc>
          <w:tcPr>
            <w:tcW w:w="8380" w:type="dxa"/>
            <w:vAlign w:val="bottom"/>
            <w:tcBorders>
              <w:bottom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First Amendment to Sponsor Support Agreement, dated February 2, 2026, by and among Voyager Acquisition Corp., Veraxa Biotech AG</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and Voyager Acquisition Sponsor Holdco LLC (incorporated by reference to Exhibit 10.1 to SPAC’s Current Report on Form 8-K (File No.</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001-42211) filed on February 3, 2026)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Second Amendment to Sponsor Support Agreement, dated May 7, 2026, by and among Voyager Acquisition Corp., Veraxa Biotech AG and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Voyager Acquisition Sponsor Holdco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Voting, Support and Lock-Up Agreement, dated as of April 22, 2025 by and among Voyager Acquisition Corp., Voyager Acquisition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Sponsor Holdco, LLC and Veraxa Biotech AG (incorporated by reference to SPAC’s Current Report on Form 8-K (File No. 001-42211)</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filed on April 23, 2025)</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First Amendment to Voting, Support and Lock-Up Agreement, dated February 12, 2026, by and among Voyager Acquisition Corp., Voyager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Acquisition Sponsor Holdco, LLC and Veraxa Biotech AG (incorporated by reference to the Company’s Registration Statement on Form 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4/A filed on February 13, 2026)</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Securities Purchase Agreement, dated May 27, 2026, by and among Veraxa Biotech Holding AG, Veraxa Biotech AG, Voyager Acquisition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786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Corp. and the investors listed therein (incorporated by reference to Exhibit 10.1 to SPAC’s Current Report on Form 8-K (File No. 001-</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42211) filed on May 29, 2026)</w:t>
              </w:r>
            </w:hyperlink>
          </w:p>
        </w:tc>
        <w:tc>
          <w:tcPr>
            <w:tcW w:w="79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9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15"/>
          </w:tcPr>
          <w:p>
            <w:pPr>
              <w:jc w:val="right"/>
              <w:ind w:right="470"/>
              <w:spacing w:after="0"/>
              <w:rPr>
                <w:sz w:val="20"/>
                <w:szCs w:val="20"/>
                <w:color w:val="auto"/>
              </w:rPr>
            </w:pPr>
            <w:r>
              <w:rPr>
                <w:rFonts w:ascii="Times New Roman" w:cs="Times New Roman" w:eastAsia="Times New Roman" w:hAnsi="Times New Roman"/>
                <w:sz w:val="18"/>
                <w:szCs w:val="18"/>
                <w:color w:val="auto"/>
              </w:rPr>
              <w:t>44</w:t>
            </w:r>
          </w:p>
        </w:tc>
        <w:tc>
          <w:tcPr>
            <w:tcW w:w="20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4.11**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1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Senior Secured Note due 2027, dated June 15, 2026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4.12**</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Warrant to Purchase Ordinary Shares of the Company, dated June 15, 2026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Purchase Agreement, dated May 27, 2026, by and among Voyager Acquisition Corp., Veraxa Biotech Holding AG, and Lincoln Park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Capital Fund, LLC (incorporated by reference to Exhibit 10.4 to SPAC’s Form 8-K filed May 29, 2026)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8.1**</w:t>
            </w:r>
          </w:p>
        </w:tc>
        <w:tc>
          <w:tcPr>
            <w:tcW w:w="120" w:type="dxa"/>
            <w:vAlign w:val="bottom"/>
            <w:tcBorders>
              <w:top w:val="single" w:sz="8" w:color="CCEEFF"/>
            </w:tcBorders>
          </w:tcPr>
          <w:p>
            <w:pPr>
              <w:spacing w:after="0"/>
              <w:rPr>
                <w:sz w:val="15"/>
                <w:szCs w:val="15"/>
                <w:color w:val="auto"/>
              </w:rPr>
            </w:pPr>
          </w:p>
        </w:tc>
        <w:tc>
          <w:tcPr>
            <w:tcW w:w="74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 of the Registrant</w:t>
            </w:r>
          </w:p>
        </w:tc>
        <w:tc>
          <w:tcPr>
            <w:tcW w:w="2640" w:type="dxa"/>
            <w:vAlign w:val="bottom"/>
            <w:tcBorders>
              <w:top w:val="single" w:sz="8" w:color="CCEE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12.1**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12.2**</w:t>
            </w:r>
          </w:p>
        </w:tc>
        <w:tc>
          <w:tcPr>
            <w:tcW w:w="120" w:type="dxa"/>
            <w:vAlign w:val="bottom"/>
            <w:tcBorders>
              <w:top w:val="single" w:sz="8" w:color="CCEEFF"/>
            </w:tcBorders>
          </w:tcPr>
          <w:p>
            <w:pPr>
              <w:spacing w:after="0"/>
              <w:rPr>
                <w:sz w:val="15"/>
                <w:szCs w:val="15"/>
                <w:color w:val="auto"/>
              </w:rPr>
            </w:pPr>
          </w:p>
        </w:tc>
        <w:tc>
          <w:tcPr>
            <w:tcW w:w="71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c>
          <w:tcPr>
            <w:tcW w:w="2920" w:type="dxa"/>
            <w:vAlign w:val="bottom"/>
            <w:tcBorders>
              <w:top w:val="single" w:sz="8" w:color="CCEE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40" w:type="dxa"/>
            <w:vAlign w:val="bottom"/>
            <w:tcBorders>
              <w:bottom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15.1**</w:t>
            </w:r>
          </w:p>
        </w:tc>
        <w:tc>
          <w:tcPr>
            <w:tcW w:w="12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5280" w:type="dxa"/>
            <w:vAlign w:val="bottom"/>
            <w:tcBorders>
              <w:bottom w:val="single" w:sz="8" w:color="CCEEFF"/>
            </w:tcBorders>
            <w:gridSpan w:val="8"/>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15.2**</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for Voyager Acquisition Corp.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15.3**</w:t>
            </w:r>
          </w:p>
        </w:tc>
        <w:tc>
          <w:tcPr>
            <w:tcW w:w="120" w:type="dxa"/>
            <w:vAlign w:val="bottom"/>
            <w:tcBorders>
              <w:bottom w:val="single" w:sz="8" w:color="CCEEFF"/>
            </w:tcBorders>
            <w:shd w:val="clear" w:color="auto" w:fill="CCEEFF"/>
          </w:tcPr>
          <w:p>
            <w:pPr>
              <w:spacing w:after="0"/>
              <w:rPr>
                <w:sz w:val="17"/>
                <w:szCs w:val="17"/>
                <w:color w:val="auto"/>
              </w:rPr>
            </w:pPr>
          </w:p>
        </w:tc>
        <w:tc>
          <w:tcPr>
            <w:tcW w:w="72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Grassi &amp; Co., CPAs, P.C., independent registered accounting firm for Veraxa Biotech AG</w:t>
            </w:r>
          </w:p>
        </w:tc>
        <w:tc>
          <w:tcPr>
            <w:tcW w:w="282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15.4**</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Consent of Grassi &amp; Co., CPAs, P.C., independent registered accounting firm for Veraxa Biotech Holding AG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83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2" w:lineRule="exact"/>
        <w:rPr>
          <w:sz w:val="20"/>
          <w:szCs w:val="20"/>
          <w:color w:val="auto"/>
        </w:rPr>
      </w:pPr>
    </w:p>
    <w:p>
      <w:pPr>
        <w:jc w:val="both"/>
        <w:ind w:right="9640" w:firstLine="8"/>
        <w:spacing w:after="0" w:line="261" w:lineRule="auto"/>
        <w:tabs>
          <w:tab w:leader="none" w:pos="4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ind w:left="460" w:right="20" w:hanging="44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pursuant to Company S-K Item 601(b)(2). The Registrant agrees to furnish supplementally a copy of any omitted schedule or exhibit to the SEC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portions (indicated by brackets and asterisks) have been omitted from this exhibit.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June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 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 Antz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STATUTEN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der</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(Veraxa Biotech SA)</w:t>
      </w:r>
    </w:p>
    <w:p>
      <w:pPr>
        <w:spacing w:after="0" w:line="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(Veraxa Biotech Ltd)</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mit Sitz in Zürich / Schweiz</w:t>
      </w:r>
    </w:p>
    <w:p>
      <w:pPr>
        <w:spacing w:after="0" w:line="221"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FIRMA, SITZ, DAUER UND ZWECK DER GESELLSCHAFT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 – Firma und Sitz</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Unter der Firma</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Veraxa Biotech AG</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(Veraxa Biotech SA)</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(Veraxa Biotech Ltd)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besteht für unbeschränkte Dauer eine Aktiengesellschaft gemäss Art. 620 ff. OR mit Sitz in Zürich (die </w:t>
      </w:r>
      <w:r>
        <w:rPr>
          <w:rFonts w:ascii="Times New Roman" w:cs="Times New Roman" w:eastAsia="Times New Roman" w:hAnsi="Times New Roman"/>
          <w:sz w:val="18"/>
          <w:szCs w:val="18"/>
          <w:b w:val="1"/>
          <w:bCs w:val="1"/>
          <w:color w:val="auto"/>
        </w:rPr>
        <w:t>“Gesellschaft”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 – Zweck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Zweck der Gesellschaft ist die Beteiligung an anderen Unternehmen im Bereich des mikrofluidischen Screenings von diagnostischen oder therapeutischen Antikörpern sowie der chemischen oder rekombinanten Modifizierung, For matierung, Validierung, präklinischen und/oder klinischen Entwicklung und Vermarktung im ln- und Ausland sowie deren strategische Führung.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Die Gesellschaft kann Beteiligungen erwerben, halten, verwalten und veräussern und bei Unternehmen, an denen sie beteiligt ist, Dienstleistungen erbringen. Die Gesellschaft kann im ln- und Ausland Zweigniederlassungen und Tochtergesellschaften errichten. Die Gesellschaft kann Dritten, einschliesslich Gesellschaften, an denen sie direkt oder indirekt be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ind w:left="1947"/>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ind w:left="1907"/>
        <w:spacing w:after="0"/>
        <w:rPr>
          <w:sz w:val="20"/>
          <w:szCs w:val="20"/>
          <w:color w:val="auto"/>
        </w:rPr>
      </w:pPr>
      <w:r>
        <w:rPr>
          <w:rFonts w:ascii="Times New Roman" w:cs="Times New Roman" w:eastAsia="Times New Roman" w:hAnsi="Times New Roman"/>
          <w:sz w:val="18"/>
          <w:szCs w:val="18"/>
          <w:b w:val="1"/>
          <w:bCs w:val="1"/>
          <w:color w:val="auto"/>
        </w:rPr>
        <w:t>(Veraxa Biotech SA)</w:t>
      </w:r>
    </w:p>
    <w:p>
      <w:pPr>
        <w:spacing w:after="0" w:line="9" w:lineRule="exact"/>
        <w:rPr>
          <w:sz w:val="20"/>
          <w:szCs w:val="20"/>
          <w:color w:val="auto"/>
        </w:rPr>
      </w:pPr>
    </w:p>
    <w:p>
      <w:pPr>
        <w:ind w:left="1887"/>
        <w:spacing w:after="0"/>
        <w:rPr>
          <w:sz w:val="20"/>
          <w:szCs w:val="20"/>
          <w:color w:val="auto"/>
        </w:rPr>
      </w:pPr>
      <w:r>
        <w:rPr>
          <w:rFonts w:ascii="Times New Roman" w:cs="Times New Roman" w:eastAsia="Times New Roman" w:hAnsi="Times New Roman"/>
          <w:sz w:val="18"/>
          <w:szCs w:val="18"/>
          <w:b w:val="1"/>
          <w:bCs w:val="1"/>
          <w:color w:val="auto"/>
        </w:rPr>
        <w:t>(Veraxa Biotech Ltd)</w:t>
      </w:r>
    </w:p>
    <w:p>
      <w:pPr>
        <w:spacing w:after="0" w:line="207"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8"/>
          <w:szCs w:val="18"/>
          <w:color w:val="auto"/>
        </w:rPr>
        <w:t>having its registered office in Zurich / Switzerland</w:t>
      </w:r>
    </w:p>
    <w:p>
      <w:pPr>
        <w:spacing w:after="0" w:line="221" w:lineRule="exact"/>
        <w:rPr>
          <w:sz w:val="20"/>
          <w:szCs w:val="20"/>
          <w:color w:val="auto"/>
        </w:rPr>
      </w:pPr>
    </w:p>
    <w:p>
      <w:pPr>
        <w:ind w:left="447" w:hanging="447"/>
        <w:spacing w:after="0" w:line="286" w:lineRule="auto"/>
        <w:tabs>
          <w:tab w:leader="none" w:pos="44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NAME, REGISTERED OFFICE, DURATION AND PURPOSE OF THE COMPANY</w:t>
      </w:r>
    </w:p>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1 – Corporate Name and Registered Office</w:t>
      </w:r>
    </w:p>
    <w:p>
      <w:pPr>
        <w:spacing w:after="0" w:line="2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Under the name</w:t>
      </w:r>
    </w:p>
    <w:p>
      <w:pPr>
        <w:spacing w:after="0" w:line="225" w:lineRule="exact"/>
        <w:rPr>
          <w:sz w:val="20"/>
          <w:szCs w:val="20"/>
          <w:color w:val="auto"/>
        </w:rPr>
      </w:pPr>
    </w:p>
    <w:p>
      <w:pPr>
        <w:ind w:left="1967"/>
        <w:spacing w:after="0"/>
        <w:rPr>
          <w:sz w:val="20"/>
          <w:szCs w:val="20"/>
          <w:color w:val="auto"/>
        </w:rPr>
      </w:pPr>
      <w:r>
        <w:rPr>
          <w:rFonts w:ascii="Times New Roman" w:cs="Times New Roman" w:eastAsia="Times New Roman" w:hAnsi="Times New Roman"/>
          <w:sz w:val="18"/>
          <w:szCs w:val="18"/>
          <w:color w:val="auto"/>
        </w:rPr>
        <w:t>Veraxa Biotech AG</w:t>
      </w:r>
    </w:p>
    <w:p>
      <w:pPr>
        <w:spacing w:after="0" w:line="27" w:lineRule="exact"/>
        <w:rPr>
          <w:sz w:val="20"/>
          <w:szCs w:val="20"/>
          <w:color w:val="auto"/>
        </w:rPr>
      </w:pPr>
    </w:p>
    <w:p>
      <w:pPr>
        <w:ind w:left="1927"/>
        <w:spacing w:after="0"/>
        <w:rPr>
          <w:sz w:val="20"/>
          <w:szCs w:val="20"/>
          <w:color w:val="auto"/>
        </w:rPr>
      </w:pPr>
      <w:r>
        <w:rPr>
          <w:rFonts w:ascii="Times New Roman" w:cs="Times New Roman" w:eastAsia="Times New Roman" w:hAnsi="Times New Roman"/>
          <w:sz w:val="18"/>
          <w:szCs w:val="18"/>
          <w:color w:val="auto"/>
        </w:rPr>
        <w:t>(Veraxa Biotech SA)</w:t>
      </w:r>
    </w:p>
    <w:p>
      <w:pPr>
        <w:spacing w:after="0" w:line="9" w:lineRule="exact"/>
        <w:rPr>
          <w:sz w:val="20"/>
          <w:szCs w:val="20"/>
          <w:color w:val="auto"/>
        </w:rPr>
      </w:pPr>
    </w:p>
    <w:p>
      <w:pPr>
        <w:ind w:left="1927"/>
        <w:spacing w:after="0"/>
        <w:rPr>
          <w:sz w:val="20"/>
          <w:szCs w:val="20"/>
          <w:color w:val="auto"/>
        </w:rPr>
      </w:pPr>
      <w:r>
        <w:rPr>
          <w:rFonts w:ascii="Times New Roman" w:cs="Times New Roman" w:eastAsia="Times New Roman" w:hAnsi="Times New Roman"/>
          <w:sz w:val="18"/>
          <w:szCs w:val="18"/>
          <w:color w:val="auto"/>
        </w:rPr>
        <w:t>(Veraxa Biotech Ltd)</w:t>
      </w:r>
    </w:p>
    <w:p>
      <w:pPr>
        <w:spacing w:after="0" w:line="207"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a joint-stock corporation according to art. 620 et seq. of the Swiss Code of Obligations (</w:t>
      </w: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color w:val="auto"/>
        </w:rPr>
        <w:t xml:space="preserve">) exists for an unlimited period, having its registered office in Zurich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2 – Purpose</w:t>
      </w:r>
    </w:p>
    <w:p>
      <w:pPr>
        <w:spacing w:after="0" w:line="229"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The purpose of the Company is to participate in other companies in the field of microfluidic screening of diagnostic or therapeutic antibodies as well as chemical or recombinant modification, formatting, validation, preclinical and/or clinical development and marketing in Switzerland and abroad, as well as to strategically manage these companies.</w:t>
      </w:r>
    </w:p>
    <w:p>
      <w:pPr>
        <w:spacing w:after="0" w:line="399"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8"/>
          <w:szCs w:val="18"/>
          <w:color w:val="auto"/>
        </w:rPr>
        <w:t>The Company may acquire, hold, manage, and dispose of investments and provide services to companies in which it holds a participation. The Company may establish branches and subsidiaries in Switzerland and abroad. The Company may grant loans or other financing to third parties, including companies in which it holds a direct or indirect participation, as well as direct or</w:t>
      </w:r>
    </w:p>
    <w:p>
      <w:pPr>
        <w:spacing w:after="0" w:line="200" w:lineRule="exact"/>
        <w:rPr>
          <w:sz w:val="20"/>
          <w:szCs w:val="20"/>
          <w:color w:val="auto"/>
        </w:rPr>
      </w:pPr>
    </w:p>
    <w:p>
      <w:pPr>
        <w:sectPr>
          <w:pgSz w:w="11900" w:h="16838" w:orient="portrait"/>
          <w:cols w:equalWidth="0" w:num="2">
            <w:col w:w="5400" w:space="453"/>
            <w:col w:w="5387"/>
          </w:cols>
          <w:pgMar w:left="320" w:top="333" w:right="339" w:bottom="1440" w:gutter="0" w:footer="0" w:header="0"/>
        </w:sectPr>
      </w:pP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18"/>
          <w:szCs w:val="18"/>
          <w:color w:val="auto"/>
        </w:rPr>
        <w:t>teiligt ist, sowie direkten oder indirekten Aktionären der Gesellschaft oder Gesellschaften, an denen diese direkten oder indirekten Aktionäre der Gesellschaft direkt oder indirekt beteiligt sind, Darlehen oder andere Finanzierungen gewähren, mit solchen Dritten Cash-pooling-Verträge abschliessen und für deren Verbindlichkeiten Sicherheiten aller Art bestellen und Garantien abgeben, in jedem Fall ob gegen Entgelt oder nicht und auch wenn diese Rechtsgeschäfte im ausschliesslichen lnteresse der Dritten liegen. Die Gesellschaft kann im ln- und Ausland Grundstücke erwerben, verwalten, belasten und veräussern. Die Gesellschaft kann jede weitere Tätigkeit ausüben, welche mit den erwähnten Zwecken direkt oder indirekt zusammenhängt.</w:t>
      </w:r>
    </w:p>
    <w:p>
      <w:pPr>
        <w:spacing w:after="0" w:line="188" w:lineRule="exact"/>
        <w:rPr>
          <w:sz w:val="20"/>
          <w:szCs w:val="20"/>
          <w:color w:val="auto"/>
        </w:rPr>
      </w:pPr>
    </w:p>
    <w:p>
      <w:pPr>
        <w:ind w:left="460" w:hanging="452"/>
        <w:spacing w:after="0"/>
        <w:tabs>
          <w:tab w:leader="none" w:pos="4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AKTIENKAPITAL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 – Aktienkapital und Aktien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Das Aktienkapital beträgt CHF 1’248’634 + 50/453 und ist eingeteilt in 141’407’813 Namenaktien zu je CHF 100/11’325 Nennwert. Die Aktien sind vollständig liberiert.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3a – Bedingtes Aktienkapital für Aktionärsoptionen 1</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Das Aktienkapital wird im Maximalbetrag von CHF 197’044 durch Ausgabe von höchstens 22,315,233 vollständig zu liberierenden Namenaktien mit einem Nennwert von je CHF 100/11’325 erhöht durch Ausübung von Optionsrechten, welche in Verbindung mit dem öffentlichen Angebot der Gesellschaft und der Kotierung der Aktien neuen Aktionären oder Dritten eingeräumt werden.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Das Vorwegzeichnungsrecht und das Bezugsrecht der Aktionäre sind diesbezüglich ausgeschlossen. Der Ausgabebetrag der neuen Namenaktien entspricht mindestens dem Nominalwert und wird in bar oder Verrechnung liberiert. Der Verwaltungsrat regelt die übrigen Bedingungen und Voraussetzungen für die Ausübung der Optionsrechte.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Ausübung der Optionsrechte und des Verzichts auf diese Rechte erfolgt schriftlich oder elektronisch. Die elektronische Ausübung oder der elektronische Verzicht bedürfen keiner qualifizierten elektronischen Signatur.</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indirect shareholders of the Company or companies in which these direct or indirect shareholders of the Company hold a direct or indirect participation, enter into cash pooling agreements with such third parties, and provide all types of security and guarantees for their liabilities, in each case whether for consideration or not and even if these legal transactions are in the exclusive interest of the third parties. The Company may acquire, manage, encumber, and dispose of real estate in Switzerland and abroad. The Company may carry out any other activities directly or indirectly related to the aforementioned purposes.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hanging="453"/>
        <w:spacing w:after="0"/>
        <w:tabs>
          <w:tab w:leader="none" w:pos="4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 Share Capital and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 capital amounts to CHF 1,248,634 + 50/453 and is divided into 141,407,813 registered common shares with a par value of CHF 100/11,325 each. The shares are paid up in full.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3a – Conditional Capital for Shareholders’ Options 1</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share capital shall be increased by a maximum amount of CHF 197,044 through the issuance of not more than 22,315,233 registered common shares with a par value of CHF 100/11,325 each by the exercise of option rights which are granted to new shareholders or third parties in connection with the public offer of the Company and the listing of the shares.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pre-emptive rights and subscription rights of shareholders are excluded. The issue price of the new registered shares shall at least correspond to the par value and shall be paid in cash or by offsetting of claims. The Board of Directors shall determine the other conditions and prerequisites of the exercise of the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of the option rights and the waiver of these rights shall be in writing or electronically. The electronic exercise or waiver does not require a qualified electronic signature.</w:t>
      </w:r>
    </w:p>
    <w:p>
      <w:pPr>
        <w:spacing w:after="0" w:line="412"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Artikel 3b – Bedingtes Aktienkapital für Aktionärsoptionen 2</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Das Aktienkapital wird im Maximalbetrag von CHF 44’152 durch Ausgabe von höchstens 5’000’214 vollständig zu liberierenden Namenaktien mit einem Nennwert von je CHF 100/11’325 erhöht durch Ausübung von Optionsrechten, welche in Verbindung mit der Fusion der Gesellschaft Aktionären der übertragenden Gesellschaft eingeräumt werden.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Das Vorwegzeichnungsrecht und das Bezugsrecht der Aktionäre sind diesbezüglich ausgeschlossen. Der Ausgabebetrag der neuen Namenaktien entspricht mindestens dem Nominalwert und wird in bar oder Verrechnung liberiert. Der Verwaltungsrat regelt die übrigen Bedingungen und Voraussetzungen für die Ausübung der Optionsrechte.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Ausübung der Optionsrechte und des Verzichts auf diese Rechte erfolgt schriftlich oder elektronisch. Die elektronische Ausübung oder der elektronische Verzicht bedürfen keiner qualifizierten elektronischen Signatur.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Artikel 3c – Bedingtes Aktienkapitat für Mitarbeiter- und Berateroptionen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Das Aktienkapital wird im Maximalbetrag von CHF 120’376 durch Ausgabe von höchstens 13,632,582 vollständig zu liberierenden Namenaktien mit einem Nennwert von je CHF 100/11’325 erhöht durch Ausübung von Optionsrechten, welche zwecks Beteiligung von Mitarbeitern (einschliesslich Geschäftsleitung und Verwaltungsrat) und Beratern der Gesellschaft und / oder deren Tochtergesellschaften eingeräumt werden.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Das Vorwegzeichnungsrecht und das Bezugsrecht der Aktionäre sind diesbezüglich ausgeschlossen. Die Beteiligung erfolgt gemäss durch den</w:t>
      </w:r>
    </w:p>
    <w:p>
      <w:pPr>
        <w:jc w:val="both"/>
        <w:spacing w:after="0" w:line="260" w:lineRule="auto"/>
        <w:rPr>
          <w:sz w:val="20"/>
          <w:szCs w:val="20"/>
          <w:color w:val="auto"/>
        </w:rPr>
      </w:pPr>
      <w:r>
        <w:rPr>
          <w:rFonts w:ascii="Times New Roman" w:cs="Times New Roman" w:eastAsia="Times New Roman" w:hAnsi="Times New Roman"/>
          <w:sz w:val="18"/>
          <w:szCs w:val="18"/>
          <w:color w:val="auto"/>
        </w:rPr>
        <w:t>Verwaltungsrat zu erlassenden Reglementen (M itarbeiterbeteiligungspläne).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 Ausgabebetrag wird vom Verwaltungsrat festgelegt, wobei dieser mindestens dem Nominalwert entsprechen muss.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Ausübung der Optionsrechte und des Verzichts auf diese Rechte erfolgt schriftlich oder elektronisch. Die elektronische Ausübung oder der elektronische Verzicht bedürfen keiner qualifizierten elektronischen Signatur.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3d – Kapitatband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 Verwaltungsrat ist ermächtigt, jederzeit bis zum 31. Dezember 2030 das derzeitige Aktienkapital der Gesellschaft durch die Ausgabe von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3b – Conditional Capital for Shareholders’ Options 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share capital shall be increased by a maximum amount of CHF 44,152 through the issuance of not more than 5,000,214 registered common shares with a par value of CHF 100/11,325 each by the exercise of option rights which are granted to shareholders of the transferring company in connection with the merger of the Company.</w:t>
      </w:r>
    </w:p>
    <w:p>
      <w:pPr>
        <w:spacing w:after="0" w:line="3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pre-emptive rights and subscription rights of shareholders are excluded. The issue price of the new registered shares shall at least correspond to the par value and shall be paid in cash or by offsetting of claims. The Board of Directors shall determine the other conditions and prerequisites of the exercise of the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of the option rights and the waiver of these rights shall be in writing or electronically. The electronic exercise or waiver does not require a qualified electronic signature.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3c – Conditional Capital for Employee and Advisory Options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share capital shall be increased by a maximum amount of CHF 120,376 through the issuance of not more than 13,632,582 registered common shares with a par value of CHF 100/11’325 each by the exercise of option rights granted to employees (including members of the Board of Directors and the persons entrusted with management of the Company (the “</w:t>
      </w:r>
      <w:r>
        <w:rPr>
          <w:rFonts w:ascii="Times New Roman" w:cs="Times New Roman" w:eastAsia="Times New Roman" w:hAnsi="Times New Roman"/>
          <w:sz w:val="18"/>
          <w:szCs w:val="18"/>
          <w:b w:val="1"/>
          <w:bCs w:val="1"/>
          <w:color w:val="auto"/>
        </w:rPr>
        <w:t>Executive Board</w:t>
      </w:r>
      <w:r>
        <w:rPr>
          <w:rFonts w:ascii="Times New Roman" w:cs="Times New Roman" w:eastAsia="Times New Roman" w:hAnsi="Times New Roman"/>
          <w:sz w:val="18"/>
          <w:szCs w:val="18"/>
          <w:color w:val="auto"/>
        </w:rPr>
        <w:t>”) and advisors of the Company and / or its subsidiaries.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pre-emptive rights and subscription rights of shareholders are excluded. The Board of Directors shall prepare plans for the allocation of such option rights (employee stock option plans).</w:t>
      </w:r>
    </w:p>
    <w:p>
      <w:pPr>
        <w:spacing w:after="0" w:line="3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issue price shall be determined by the Board of Directors and at least correspond to the par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of the option rights and the waiver of these rights shall be in writing or electronically. The electronic exercise or waiver does not require a qualified electronic signature.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3d – Capital Band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is authorised to increase the current share capital of the Company at any time until 31 December 2030 by a maximum</w:t>
      </w:r>
    </w:p>
    <w:p>
      <w:pPr>
        <w:spacing w:after="0" w:line="200" w:lineRule="exact"/>
        <w:rPr>
          <w:sz w:val="20"/>
          <w:szCs w:val="20"/>
          <w:color w:val="auto"/>
        </w:rPr>
      </w:pPr>
    </w:p>
    <w:p>
      <w:pPr>
        <w:sectPr>
          <w:pgSz w:w="11900" w:h="16838" w:orient="portrait"/>
          <w:cols w:equalWidth="0" w:num="2">
            <w:col w:w="5420" w:space="440"/>
            <w:col w:w="5380"/>
          </w:cols>
          <w:pgMar w:left="320" w:top="792" w:right="3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18"/>
          <w:szCs w:val="18"/>
          <w:color w:val="auto"/>
        </w:rPr>
        <w:t>maximal 70’662’564 Namenaktien mit einem Nennwert von je CHF 100/11’325 um nominal maximal CHF 623’952 zu erhöhen, wobei die obere Grenze des Kapitalbands nominal CHF 1’871’856 und die untere Grenze nominal CHF 1’247’904 beträgt. Mehrfache Erhöhungen (auch in Teilbeträgen) im Rahmen des Kapitalbands, der Befristung und der nachfolgenden Bestimmungen sind zulässig. Bezugsrechte, die im Rahmen einer Aktienkapitalerhöhung nicht ausgeübt werden, kann der Verwaltungsrat im lnteresse der Gesellschaft zuweisen.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 Verwaltungsrat ist überdies berechtigt, bei den Kapitalerhöhungen im Kapitalband das Bezugsrecht der Aktionäre ganz oder zum Teil auszuschliessen und Dritten zuzuweisen zwecks Übernahme von Unternehmen, Unternehmensanteilen oder Beteiligungen oder für die Finanzierung oder Refinanzierung derartiger Transaktionen. Aktien, für die Bezugsrechte eingeräumt, aber nicht ausgeübt werden, stehen zur Verfügung des Verwaltungsrates, der diese im lnteresse der Gesellschaft verwendet.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nominal amount of CHF 623,952 by issuing a maximum of 70,662,564 registered shares with a par value of CHF 10011,325 each (common shares), whereby the upper limit of the capital band is nominally CHF 1,871,856 and the lower limit is nominally CHF 1,247,904. Multiple increases (also in instalments) within the framework of the capital band, the time limit and the following provisions are permitted. Subscription rights that are not exercised as part of a share capital increase may be allocated by the Board of Directors in the interest of the company.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is also authorised to exclude shareholders’ subscription rights in whole or in part in the case of capital increases in the capital band and to allocate them to third parties for the purpose of acquiring companies, shares in companies or participations or for the financing or refinancing of such transactions. Shares for which subscription rights are granted but not exercised are at the disposal of the Board of Directors, which utilises them in the interest of the company.</w:t>
      </w:r>
    </w:p>
    <w:p>
      <w:pPr>
        <w:spacing w:after="0" w:line="401" w:lineRule="exact"/>
        <w:rPr>
          <w:sz w:val="20"/>
          <w:szCs w:val="20"/>
          <w:color w:val="auto"/>
        </w:rPr>
      </w:pPr>
    </w:p>
    <w:p>
      <w:pPr>
        <w:sectPr>
          <w:pgSz w:w="11900" w:h="16838" w:orient="portrait"/>
          <w:cols w:equalWidth="0" w:num="2">
            <w:col w:w="5420" w:space="440"/>
            <w:col w:w="5380"/>
          </w:cols>
          <w:pgMar w:left="320" w:top="796" w:right="339" w:bottom="1440" w:gutter="0" w:footer="0" w:header="0"/>
        </w:sect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Artikel 4 – Form der Aktien</w:t>
      </w:r>
      <w:r>
        <w:rPr>
          <w:sz w:val="20"/>
          <w:szCs w:val="20"/>
          <w:color w:val="auto"/>
        </w:rPr>
        <w:tab/>
      </w:r>
      <w:r>
        <w:rPr>
          <w:rFonts w:ascii="Times New Roman" w:cs="Times New Roman" w:eastAsia="Times New Roman" w:hAnsi="Times New Roman"/>
          <w:sz w:val="18"/>
          <w:szCs w:val="18"/>
          <w:b w:val="1"/>
          <w:bCs w:val="1"/>
          <w:color w:val="auto"/>
        </w:rPr>
        <w:t>Article 4 – Form of Shares</w:t>
      </w:r>
    </w:p>
    <w:p>
      <w:pPr>
        <w:sectPr>
          <w:pgSz w:w="11900" w:h="16838" w:orient="portrait"/>
          <w:cols w:equalWidth="0" w:num="1">
            <w:col w:w="11240"/>
          </w:cols>
          <w:pgMar w:left="320" w:top="796" w:right="339" w:bottom="1440" w:gutter="0" w:footer="0" w:header="0"/>
          <w:type w:val="continuous"/>
        </w:sectPr>
      </w:pP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Die Gesellschaft kann ihre Namenaktien als Einzelurkunden, Globalurkunden, einfache Wertrechte im Sinne des OR (in der jeweils geltenden Fassung) oder als Bucheffekten ausgestalten.</w:t>
      </w:r>
    </w:p>
    <w:p>
      <w:pPr>
        <w:spacing w:after="0" w:line="392"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Die Übertragung von Bucheffekten und die Bestellung von Sicherheiten an Bucheffekten richten sich nach den Bestimmungen des Bucheffektengesetztes. Die Gesellschaft kann als Bucheffekten ausgestaltete Aktien aus dem entsprechenden Verwahrungssystem zurückziehen.</w:t>
      </w:r>
    </w:p>
    <w:p>
      <w:pPr>
        <w:spacing w:after="0" w:line="18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Wertrechte können, sofern keine Bucheffekten geschaffen werden, nur durch Zession übertragen werden. Die Zession bedarf zur Gültigkeit der Anzeige an die Gesellschaft.</w:t>
      </w:r>
    </w:p>
    <w:p>
      <w:pPr>
        <w:spacing w:after="0" w:line="176"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Der Aktionär kann von der Gesellschaft jederzeit die Ausstellung einer Bescheinigung über seine Namenaktien verlangen. Der Aktionär hat jedoch keinen Anspruch auf Druck und Auslieferung von Wertpapieren oder Umwandlung von in bestimmter Form ausgegebenen Namenaktien in eine andere 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Gesellschaft kann jederzeit Wertpapiere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issue its registered shares in the form of single certificates, global certificates, simple uncertified securities within the meaning of the CO (as amended from time to time) or intermediated securities.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transfer of intermediated securities and furnishing of collateral in intermediated securities must conform with the regulations of the Intermediated Securities Act. The Company may withdraw shares issued as intermediated securities from the respective custody system.</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Uncertified securities may only be transferred by way of assignment provided that they are not registered as intermediated securities. In order to be valid, the assignment must be reported to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may at any time request from the Company the issuance of a confirmation regarding his or her registered shares. However, the shareholder is not entitled to the printing or delivery of securities or to the conversion of registered shares issued in a specific form into another form.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issue securities (individual share titles, certificates or global certificates) or</w:t>
      </w:r>
    </w:p>
    <w:p>
      <w:pPr>
        <w:sectPr>
          <w:pgSz w:w="11900" w:h="16838" w:orient="portrait"/>
          <w:cols w:equalWidth="0" w:num="2">
            <w:col w:w="5820" w:space="40"/>
            <w:col w:w="5380"/>
          </w:cols>
          <w:pgMar w:left="320" w:top="796" w:right="339" w:bottom="1440" w:gutter="0" w:footer="0" w:header="0"/>
          <w:type w:val="continuous"/>
        </w:sectPr>
      </w:pPr>
    </w:p>
    <w:bookmarkStart w:id="91" w:name="page92"/>
    <w:bookmarkEnd w:id="91"/>
    <w:p>
      <w:pPr>
        <w:jc w:val="both"/>
        <w:spacing w:after="0" w:line="266" w:lineRule="auto"/>
        <w:rPr>
          <w:sz w:val="20"/>
          <w:szCs w:val="20"/>
          <w:color w:val="auto"/>
        </w:rPr>
      </w:pPr>
      <w:r>
        <w:rPr>
          <w:rFonts w:ascii="Times New Roman" w:cs="Times New Roman" w:eastAsia="Times New Roman" w:hAnsi="Times New Roman"/>
          <w:sz w:val="18"/>
          <w:szCs w:val="18"/>
          <w:color w:val="auto"/>
        </w:rPr>
        <w:t>(Einzelurkunden, Zertifikate oder Globalurkunden) ausgeben oder ihre Namenaktien von einer Form in eine andere Form umwandeln sowie ausgegebene Wertpapiere, die bei ihr eingeliefert werden, annullieren.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Werden Aktientitel ausgegeben, so müssen sie von mindestens einem Mitglied des Verwaltungsrats unterschrieben sein.</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convert its registered shares from one form into another form at any time, as well as cancel issued securities that are returned to the Company.</w:t>
      </w:r>
    </w:p>
    <w:p>
      <w:pPr>
        <w:spacing w:after="0" w:line="3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share certificates are issued, they must be signed by at least one member of the Board of Directors.</w:t>
      </w:r>
    </w:p>
    <w:p>
      <w:pPr>
        <w:spacing w:after="0" w:line="158" w:lineRule="exact"/>
        <w:rPr>
          <w:sz w:val="20"/>
          <w:szCs w:val="20"/>
          <w:color w:val="auto"/>
        </w:rPr>
      </w:pPr>
    </w:p>
    <w:p>
      <w:pPr>
        <w:sectPr>
          <w:pgSz w:w="11900" w:h="16838" w:orient="portrait"/>
          <w:cols w:equalWidth="0" w:num="2">
            <w:col w:w="5420" w:space="440"/>
            <w:col w:w="5380"/>
          </w:cols>
          <w:pgMar w:left="320" w:top="796" w:right="339" w:bottom="1440" w:gutter="0" w:footer="0" w:header="0"/>
        </w:sect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Artikel 5 – Zerlegung und Zusammenlegung von Aktien</w:t>
      </w:r>
      <w:r>
        <w:rPr>
          <w:sz w:val="20"/>
          <w:szCs w:val="20"/>
          <w:color w:val="auto"/>
        </w:rPr>
        <w:tab/>
      </w:r>
      <w:r>
        <w:rPr>
          <w:rFonts w:ascii="Times New Roman" w:cs="Times New Roman" w:eastAsia="Times New Roman" w:hAnsi="Times New Roman"/>
          <w:sz w:val="18"/>
          <w:szCs w:val="18"/>
          <w:b w:val="1"/>
          <w:bCs w:val="1"/>
          <w:color w:val="auto"/>
        </w:rPr>
        <w:t>Article 5 – Splitting and Consolidation of Shares</w:t>
      </w:r>
    </w:p>
    <w:p>
      <w:pPr>
        <w:sectPr>
          <w:pgSz w:w="11900" w:h="16838" w:orient="portrait"/>
          <w:cols w:equalWidth="0" w:num="1">
            <w:col w:w="11240"/>
          </w:cols>
          <w:pgMar w:left="320" w:top="796" w:right="339" w:bottom="1440" w:gutter="0" w:footer="0" w:header="0"/>
          <w:type w:val="continuous"/>
        </w:sectPr>
      </w:pP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Generalversammlung kann bei unverändert bleibendem Aktienkapital durch Statutenänderung jederzeit Namenaktien in solche von kleinerem Nennwert zerlegen oder zu solchen von grösserem Nennwert zusammenlegen.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amending the Articles of Association, the Meeting of Shareholders is authorized at any time – with unchanged share capital – to split shares into shares with lower par value or to consolidate shares into shares with higher par value.</w:t>
      </w:r>
    </w:p>
    <w:p>
      <w:pPr>
        <w:spacing w:after="0" w:line="176" w:lineRule="exact"/>
        <w:rPr>
          <w:sz w:val="20"/>
          <w:szCs w:val="20"/>
          <w:color w:val="auto"/>
        </w:rPr>
      </w:pPr>
    </w:p>
    <w:p>
      <w:pPr>
        <w:sectPr>
          <w:pgSz w:w="11900" w:h="16838" w:orient="portrait"/>
          <w:cols w:equalWidth="0" w:num="2">
            <w:col w:w="5420" w:space="440"/>
            <w:col w:w="5380"/>
          </w:cols>
          <w:pgMar w:left="320" w:top="796" w:right="339" w:bottom="1440" w:gutter="0" w:footer="0" w:header="0"/>
          <w:type w:val="continuous"/>
        </w:sect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Artikel 6 – Aktienbuch</w:t>
      </w:r>
      <w:r>
        <w:rPr>
          <w:sz w:val="20"/>
          <w:szCs w:val="20"/>
          <w:color w:val="auto"/>
        </w:rPr>
        <w:tab/>
      </w:r>
      <w:r>
        <w:rPr>
          <w:rFonts w:ascii="Times New Roman" w:cs="Times New Roman" w:eastAsia="Times New Roman" w:hAnsi="Times New Roman"/>
          <w:sz w:val="18"/>
          <w:szCs w:val="18"/>
          <w:b w:val="1"/>
          <w:bCs w:val="1"/>
          <w:color w:val="auto"/>
        </w:rPr>
        <w:t>Article 6 – Share Register</w:t>
      </w:r>
    </w:p>
    <w:p>
      <w:pPr>
        <w:sectPr>
          <w:pgSz w:w="11900" w:h="16838" w:orient="portrait"/>
          <w:cols w:equalWidth="0" w:num="1">
            <w:col w:w="11240"/>
          </w:cols>
          <w:pgMar w:left="320" w:top="796" w:right="339" w:bottom="1440" w:gutter="0" w:footer="0" w:header="0"/>
          <w:type w:val="continuous"/>
        </w:sectPr>
      </w:pP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 Verwaltungsrat führt ein Aktienbuch, in welches die Eigentümer, Nutzniesser und Nominees mit Namen und Adressen bzw. beijuristischen Personen mit Firma und Sitz eingetragen werden. Im Verhältnis zur Gesellschaft gilt als Aktionär, Nutzniesser oder Nominee, wer im Aktienbuch eingetragen ist. Adressänderungen sind der Gesellschaft zu melden.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lst die Eintragung eines Erwerbers aufgrund falscher Angaben erfolgt, kann dieser nach Anhörung vom Verwaltungsrat aus dem Aktienbuch gestrichen werden.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 Verwaltungsrat regelt die Zuständigkeiten für die Führung des Aktienbuches sowie die Voraussetzungen der Anerkennung von personen als Aktionär oder Nutzniesser oder Nominee mit oder ohne Stimmrecht sowie deren Eintragung im Aktienbuch.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gibt in der Einladung zur Generalversammlung das für die Teilnähme und Stimmberechtigung massgebende Stichdatum der Eintragung im Aktienbuch bekannt.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maintains a share register, which lists the name and address respectively, in case of legal entities, the company name and the registered office, of the owners, usufructuaries or nominees of the shares. Only those registered in the shareholders’ register shall be recognized as shareholders, usufructuaries or nominees towards the Company. Address changes shall be notified to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may, after having heard the concerned owner of the shares, cancel entries which were based on untrue information.</w:t>
      </w: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regulates the responsibilities of the maintenance of the share register as well as the requirements for the recognition of persons as shareholders or usufructuaries or nominees with or without voting rights and their entry in the share register.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invitation to the Meeting of Shareholders, the Board of Directors announces the cut-off date for registration in the share register which is decisive for participation and voting rights.</w:t>
      </w:r>
    </w:p>
    <w:p>
      <w:pPr>
        <w:spacing w:after="0" w:line="172" w:lineRule="exact"/>
        <w:rPr>
          <w:sz w:val="20"/>
          <w:szCs w:val="20"/>
          <w:color w:val="auto"/>
        </w:rPr>
      </w:pPr>
    </w:p>
    <w:p>
      <w:pPr>
        <w:sectPr>
          <w:pgSz w:w="11900" w:h="16838" w:orient="portrait"/>
          <w:cols w:equalWidth="0" w:num="2">
            <w:col w:w="5420" w:space="440"/>
            <w:col w:w="538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III.  ORGANE DER GESELLSCHAFT</w:t>
            </w:r>
          </w:p>
        </w:tc>
        <w:tc>
          <w:tcPr>
            <w:tcW w:w="69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III.  CORPORATE BODIES</w:t>
            </w:r>
          </w:p>
        </w:tc>
      </w:tr>
      <w:tr>
        <w:trPr>
          <w:trHeight w:val="43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Die Organe der Gesellschaft sind:</w:t>
            </w:r>
          </w:p>
        </w:tc>
        <w:tc>
          <w:tcPr>
            <w:tcW w:w="69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The corporate bodies of the Company are:</w:t>
            </w:r>
          </w:p>
        </w:tc>
      </w:tr>
      <w:tr>
        <w:trPr>
          <w:trHeight w:val="432"/>
        </w:trPr>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Die Generalversammlung</w:t>
            </w:r>
          </w:p>
        </w:tc>
        <w:tc>
          <w:tcPr>
            <w:tcW w:w="69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   The Meeting of Shareholders</w:t>
            </w:r>
          </w:p>
        </w:tc>
      </w:tr>
      <w:tr>
        <w:trPr>
          <w:trHeight w:val="432"/>
        </w:trPr>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 Verwaltungsrat</w:t>
            </w:r>
          </w:p>
        </w:tc>
        <w:tc>
          <w:tcPr>
            <w:tcW w:w="69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   The Board of Directors</w:t>
            </w:r>
          </w:p>
        </w:tc>
      </w:tr>
      <w:tr>
        <w:trPr>
          <w:trHeight w:val="587"/>
        </w:trPr>
        <w:tc>
          <w:tcPr>
            <w:tcW w:w="7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5 / 23</w:t>
            </w:r>
          </w:p>
        </w:tc>
      </w:tr>
    </w:tbl>
    <w:p>
      <w:pPr>
        <w:sectPr>
          <w:pgSz w:w="11900" w:h="16838" w:orient="portrait"/>
          <w:cols w:equalWidth="0" w:num="1">
            <w:col w:w="11240"/>
          </w:cols>
          <w:pgMar w:left="320" w:top="796" w:right="339" w:bottom="1440" w:gutter="0" w:footer="0" w:header="0"/>
          <w:type w:val="continuous"/>
        </w:sectPr>
      </w:pPr>
    </w:p>
    <w:bookmarkStart w:id="92" w:name="page93"/>
    <w:bookmarkEnd w:id="92"/>
    <w:p>
      <w:pPr>
        <w:ind w:left="920" w:hanging="453"/>
        <w:spacing w:after="0"/>
        <w:tabs>
          <w:tab w:leader="none" w:pos="9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Revisionsstelle</w:t>
      </w:r>
    </w:p>
    <w:p>
      <w:pPr>
        <w:spacing w:after="0" w:line="221" w:lineRule="exact"/>
        <w:rPr>
          <w:rFonts w:ascii="Times New Roman" w:cs="Times New Roman" w:eastAsia="Times New Roman" w:hAnsi="Times New Roman"/>
          <w:sz w:val="18"/>
          <w:szCs w:val="18"/>
          <w:color w:val="auto"/>
        </w:rPr>
      </w:pPr>
    </w:p>
    <w:p>
      <w:pPr>
        <w:ind w:right="2620"/>
        <w:spacing w:after="0" w:line="5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GENERALVERSAMMLUNG Artikel 7 – Befugnisse</w:t>
      </w:r>
    </w:p>
    <w:p>
      <w:pPr>
        <w:spacing w:after="0"/>
        <w:tabs>
          <w:tab w:leader="none" w:pos="760" w:val="left"/>
          <w:tab w:leader="none" w:pos="1360" w:val="left"/>
          <w:tab w:leader="none" w:pos="1740" w:val="left"/>
          <w:tab w:leader="none" w:pos="2780" w:val="left"/>
          <w:tab w:leader="none" w:pos="3100" w:val="left"/>
          <w:tab w:leader="none" w:pos="3460" w:val="left"/>
          <w:tab w:leader="none" w:pos="5160" w:val="left"/>
        </w:tabs>
        <w:rPr>
          <w:sz w:val="20"/>
          <w:szCs w:val="20"/>
          <w:color w:val="auto"/>
        </w:rPr>
      </w:pPr>
      <w:r>
        <w:rPr>
          <w:rFonts w:ascii="Times New Roman" w:cs="Times New Roman" w:eastAsia="Times New Roman" w:hAnsi="Times New Roman"/>
          <w:sz w:val="18"/>
          <w:szCs w:val="18"/>
          <w:color w:val="auto"/>
        </w:rPr>
        <w:t>Oberstes</w:t>
        <w:tab/>
        <w:t>Organ</w:t>
        <w:tab/>
        <w:t>der</w:t>
        <w:tab/>
        <w:t>Gesellschaft</w:t>
        <w:tab/>
        <w:t>ist</w:t>
        <w:tab/>
        <w:t>die</w:t>
        <w:tab/>
        <w:t>Generalversammlung</w:t>
        <w:tab/>
        <w:t>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Aktionäre. Sie hat folgende unübertragbaren Befugnisse:</w:t>
      </w:r>
    </w:p>
    <w:p>
      <w:pPr>
        <w:spacing w:after="0" w:line="207" w:lineRule="exact"/>
        <w:rPr>
          <w:sz w:val="20"/>
          <w:szCs w:val="20"/>
          <w:color w:val="auto"/>
        </w:rPr>
      </w:pPr>
    </w:p>
    <w:p>
      <w:pPr>
        <w:ind w:left="920" w:hanging="453"/>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Festsetzung und Anderung der Statuten;</w:t>
      </w:r>
    </w:p>
    <w:p>
      <w:pPr>
        <w:spacing w:after="0" w:line="225" w:lineRule="exact"/>
        <w:rPr>
          <w:rFonts w:ascii="Times New Roman" w:cs="Times New Roman" w:eastAsia="Times New Roman" w:hAnsi="Times New Roman"/>
          <w:sz w:val="18"/>
          <w:szCs w:val="18"/>
          <w:color w:val="auto"/>
        </w:rPr>
      </w:pPr>
    </w:p>
    <w:p>
      <w:pPr>
        <w:jc w:val="both"/>
        <w:ind w:left="920" w:hanging="453"/>
        <w:spacing w:after="0" w:line="261"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Wahl der Mitglieder des Verwaltungsrates, der Revisionsstelle, des Präsidenten des Verwaltungsrats, der Mitglieder des Vergütungsausschusses und des unabhängigen Stimmrechtsvertreters;</w:t>
      </w:r>
    </w:p>
    <w:p>
      <w:pPr>
        <w:spacing w:after="0" w:line="179"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Genehmigung des Lageberichtes und der Konzernrechnung;</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1"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Genehmigung der Jahresrechnung sowie die Beschlussfassung über die Verwendung des Bilanzgewinnes, insbesondere die Festsetzung der Dividende und der Tantieme;</w:t>
      </w:r>
    </w:p>
    <w:p>
      <w:pPr>
        <w:spacing w:after="0" w:line="179"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Beschlussfassung über die Ausrichtung und Festsetzung einer Zwischendividende sowie die Genehmigung des dafür erforderlichen Zwischenabschlusses;</w:t>
      </w:r>
    </w:p>
    <w:p>
      <w:pPr>
        <w:spacing w:after="0" w:line="17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Beschlussfassung über die Rückzahlung der gesetzlichen Kapitalreserve;</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Entlastung der Mitglieder des Verwaltungsrates und mit der Geschäftsführung betrauten Personen;</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Dekotierung der Beteiligungspapiere der Gesellschaft;</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Genehmigung der Vergütung des Verwaltungsrates und der Geschäftsleitung und des Beirats; und</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1" w:lineRule="auto"/>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Beschlussfassung über die Gegenstände, die der Generalversammlung durch das Gesetz oder die Statuten vorbehalten sind oder ihr durch den Verwaltungsrat oder die Revisionsstelle vorgelegt werden.</w:t>
      </w:r>
    </w:p>
    <w:p>
      <w:pPr>
        <w:spacing w:after="0" w:line="20" w:lineRule="exact"/>
        <w:rPr>
          <w:sz w:val="20"/>
          <w:szCs w:val="20"/>
          <w:color w:val="auto"/>
        </w:rPr>
      </w:pPr>
      <w:r>
        <w:rPr>
          <w:sz w:val="20"/>
          <w:szCs w:val="20"/>
          <w:color w:val="auto"/>
        </w:rPr>
        <w:br w:type="column"/>
      </w:r>
    </w:p>
    <w:p>
      <w:pPr>
        <w:ind w:left="900" w:hanging="448"/>
        <w:spacing w:after="0"/>
        <w:tabs>
          <w:tab w:leader="none" w:pos="9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w:t>
      </w:r>
    </w:p>
    <w:p>
      <w:pPr>
        <w:spacing w:after="0" w:line="221" w:lineRule="exact"/>
        <w:rPr>
          <w:rFonts w:ascii="Times New Roman" w:cs="Times New Roman" w:eastAsia="Times New Roman" w:hAnsi="Times New Roman"/>
          <w:sz w:val="18"/>
          <w:szCs w:val="18"/>
          <w:color w:val="auto"/>
        </w:rPr>
      </w:pPr>
    </w:p>
    <w:p>
      <w:pPr>
        <w:ind w:right="1800"/>
        <w:spacing w:after="0" w:line="5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THE MEETING OF SHAREHOLDERS Article 7 – Powers</w:t>
      </w:r>
    </w:p>
    <w:p>
      <w:pPr>
        <w:spacing w:after="0" w:line="282" w:lineRule="auto"/>
        <w:rPr>
          <w:sz w:val="20"/>
          <w:szCs w:val="20"/>
          <w:color w:val="auto"/>
        </w:rPr>
      </w:pPr>
      <w:r>
        <w:rPr>
          <w:rFonts w:ascii="Times New Roman" w:cs="Times New Roman" w:eastAsia="Times New Roman" w:hAnsi="Times New Roman"/>
          <w:sz w:val="18"/>
          <w:szCs w:val="18"/>
          <w:color w:val="auto"/>
        </w:rPr>
        <w:t>The Meeting of Shareholders is the supreme body of the Company. It has the following nontransferrable powers:</w:t>
      </w:r>
    </w:p>
    <w:p>
      <w:pPr>
        <w:spacing w:after="0" w:line="162" w:lineRule="exact"/>
        <w:rPr>
          <w:sz w:val="20"/>
          <w:szCs w:val="20"/>
          <w:color w:val="auto"/>
        </w:rPr>
      </w:pPr>
    </w:p>
    <w:p>
      <w:pPr>
        <w:ind w:left="900" w:hanging="448"/>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amend the Articles of Association;</w:t>
      </w:r>
    </w:p>
    <w:p>
      <w:pPr>
        <w:spacing w:after="0" w:line="225"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members of the Board of Directors, the Auditors, the chairman of the Board of Directors, the members of the compensation committee and the independent proxy;</w:t>
      </w:r>
    </w:p>
    <w:p>
      <w:pPr>
        <w:spacing w:after="0" w:line="39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management report and the consolidated financial statements;</w:t>
      </w:r>
    </w:p>
    <w:p>
      <w:pPr>
        <w:spacing w:after="0" w:line="161" w:lineRule="exact"/>
        <w:rPr>
          <w:rFonts w:ascii="Times New Roman" w:cs="Times New Roman" w:eastAsia="Times New Roman" w:hAnsi="Times New Roman"/>
          <w:sz w:val="18"/>
          <w:szCs w:val="18"/>
          <w:color w:val="auto"/>
        </w:rPr>
      </w:pPr>
    </w:p>
    <w:p>
      <w:pPr>
        <w:jc w:val="both"/>
        <w:ind w:left="900" w:hanging="448"/>
        <w:spacing w:after="0" w:line="261"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annual accounts and to determine the allocation of the balance sheet profits, in particular the determination of dividends and shares of profit paid to members of the Board of Directors;</w:t>
      </w:r>
    </w:p>
    <w:p>
      <w:pPr>
        <w:spacing w:after="0" w:line="179"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concerning the distribution and determination of an interim dividend and the approval of the interim financial statements required for this purpose;</w:t>
      </w:r>
    </w:p>
    <w:p>
      <w:pPr>
        <w:spacing w:after="0" w:line="175"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concerning the repayment of the statutory capital reserve;</w:t>
      </w:r>
    </w:p>
    <w:p>
      <w:pPr>
        <w:spacing w:after="0" w:line="16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discharge the members of the Board of Directors and the Executive Board;</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delist the equity securities of the Company;</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of the Board of Directors, the Executive Board and board of advisors; and</w:t>
      </w:r>
    </w:p>
    <w:p>
      <w:pPr>
        <w:spacing w:after="0" w:line="161" w:lineRule="exact"/>
        <w:rPr>
          <w:rFonts w:ascii="Times New Roman" w:cs="Times New Roman" w:eastAsia="Times New Roman" w:hAnsi="Times New Roman"/>
          <w:sz w:val="18"/>
          <w:szCs w:val="18"/>
          <w:color w:val="auto"/>
        </w:rPr>
      </w:pPr>
    </w:p>
    <w:p>
      <w:pPr>
        <w:jc w:val="both"/>
        <w:ind w:left="900" w:hanging="448"/>
        <w:spacing w:after="0" w:line="261"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concerning all matters which are reserved to the authority of the Meeting of Shareholders by law or by the Articles of Association or which are presented to it by the Board of Directors or the Auditors.</w:t>
      </w:r>
    </w:p>
    <w:p>
      <w:pPr>
        <w:spacing w:after="0" w:line="200" w:lineRule="exact"/>
        <w:rPr>
          <w:sz w:val="20"/>
          <w:szCs w:val="20"/>
          <w:color w:val="auto"/>
        </w:rPr>
      </w:pPr>
    </w:p>
    <w:p>
      <w:pPr>
        <w:sectPr>
          <w:pgSz w:w="11900" w:h="16838" w:orient="portrait"/>
          <w:cols w:equalWidth="0" w:num="2">
            <w:col w:w="5420" w:space="440"/>
            <w:col w:w="5380"/>
          </w:cols>
          <w:pgMar w:left="320" w:top="796" w:right="3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93" w:name="page94"/>
    <w:bookmarkEnd w:id="93"/>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Artikel 8 – Einberufung und Traktandierung</w:t>
      </w:r>
      <w:r>
        <w:rPr>
          <w:sz w:val="20"/>
          <w:szCs w:val="20"/>
          <w:color w:val="auto"/>
        </w:rPr>
        <w:tab/>
      </w:r>
      <w:r>
        <w:rPr>
          <w:rFonts w:ascii="Times New Roman" w:cs="Times New Roman" w:eastAsia="Times New Roman" w:hAnsi="Times New Roman"/>
          <w:sz w:val="17"/>
          <w:szCs w:val="17"/>
          <w:b w:val="1"/>
          <w:bCs w:val="1"/>
          <w:color w:val="auto"/>
        </w:rPr>
        <w:t>Article 8 – Convocation and Agenda Items</w:t>
      </w:r>
    </w:p>
    <w:p>
      <w:pPr>
        <w:sectPr>
          <w:pgSz w:w="11900" w:h="16838" w:orient="portrait"/>
          <w:cols w:equalWidth="0" w:num="1">
            <w:col w:w="11240"/>
          </w:cols>
          <w:pgMar w:left="320" w:top="792" w:right="339" w:bottom="1440" w:gutter="0" w:footer="0" w:header="0"/>
        </w:sectPr>
      </w:pP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ordentliche Generalversammlung ist jährlich innerhalb von sechs Monaten nach Abschluss des Geschäftsjahres abzuhalten. Ausserordentliche Generalversammlungen werden so häufig wie nötig einberufen, insbesondere in den vom Gesetz vorgesehenen Fällen.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Die Generalversammlung ist spätestens 20 Tage vor dem Versammlungstag durch schriftliche Mitteilung per Brief oder E-Mail an die im Aktienbuch eingetragene Adresse jedes einzelnen Aktionärs und allfälliger Nutzniesser oder durch Publikation im Schweizerischen Handelsblatt (SHAB) einzuberufen. Die Einberufung erfolgt durch den Verwaltungsrat, nötigenfalls durch die Revisionsstelle. Das Einberufungsrecht steht auch den Liquidatoren und den Vertretern der Anleihensgläubiger zu.</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Einberufung einer Generalversammlung kann auch von einem oder mehreren Aktionären, die zusammen mindestens 5 Prozent des Aktienkapitals oder der Stimmen vertreten, verlangt werden. Sie müssen die Einberufung schriftlich verlangen. Die Verhandlungsgegenstände und Anträge müssen im Begehren enthalten sein.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Aktionäre, die zusammen mindestens 0.5 Prozent des Aktienkapitals oder der Stimmen vertreten, können die Traktandierung eines</w:t>
      </w:r>
    </w:p>
    <w:p>
      <w:pPr>
        <w:spacing w:after="0"/>
        <w:tabs>
          <w:tab w:leader="none" w:pos="2420" w:val="left"/>
          <w:tab w:leader="none" w:pos="3740" w:val="left"/>
          <w:tab w:leader="none" w:pos="4600" w:val="left"/>
        </w:tabs>
        <w:rPr>
          <w:sz w:val="20"/>
          <w:szCs w:val="20"/>
          <w:color w:val="auto"/>
        </w:rPr>
      </w:pPr>
      <w:r>
        <w:rPr>
          <w:rFonts w:ascii="Times New Roman" w:cs="Times New Roman" w:eastAsia="Times New Roman" w:hAnsi="Times New Roman"/>
          <w:sz w:val="18"/>
          <w:szCs w:val="18"/>
          <w:color w:val="auto"/>
        </w:rPr>
        <w:t>Verhandlungsgegenstands</w:t>
      </w:r>
      <w:r>
        <w:rPr>
          <w:sz w:val="20"/>
          <w:szCs w:val="20"/>
          <w:color w:val="auto"/>
        </w:rPr>
        <w:tab/>
      </w:r>
      <w:r>
        <w:rPr>
          <w:rFonts w:ascii="Times New Roman" w:cs="Times New Roman" w:eastAsia="Times New Roman" w:hAnsi="Times New Roman"/>
          <w:sz w:val="18"/>
          <w:szCs w:val="18"/>
          <w:color w:val="auto"/>
        </w:rPr>
        <w:t>verlangen.</w:t>
      </w:r>
      <w:r>
        <w:rPr>
          <w:sz w:val="20"/>
          <w:szCs w:val="20"/>
          <w:color w:val="auto"/>
        </w:rPr>
        <w:tab/>
      </w:r>
      <w:r>
        <w:rPr>
          <w:rFonts w:ascii="Times New Roman" w:cs="Times New Roman" w:eastAsia="Times New Roman" w:hAnsi="Times New Roman"/>
          <w:sz w:val="18"/>
          <w:szCs w:val="18"/>
          <w:color w:val="auto"/>
        </w:rPr>
        <w:t>Das</w:t>
      </w:r>
      <w:r>
        <w:rPr>
          <w:sz w:val="20"/>
          <w:szCs w:val="20"/>
          <w:color w:val="auto"/>
        </w:rPr>
        <w:tab/>
      </w:r>
      <w:r>
        <w:rPr>
          <w:rFonts w:ascii="Times New Roman" w:cs="Times New Roman" w:eastAsia="Times New Roman" w:hAnsi="Times New Roman"/>
          <w:sz w:val="17"/>
          <w:szCs w:val="17"/>
          <w:color w:val="auto"/>
        </w:rPr>
        <w:t>schriftliche</w:t>
      </w:r>
    </w:p>
    <w:p>
      <w:pPr>
        <w:spacing w:after="0" w:line="9" w:lineRule="exact"/>
        <w:rPr>
          <w:sz w:val="20"/>
          <w:szCs w:val="20"/>
          <w:color w:val="auto"/>
        </w:rPr>
      </w:pPr>
    </w:p>
    <w:p>
      <w:pPr>
        <w:spacing w:after="0"/>
        <w:tabs>
          <w:tab w:leader="none" w:pos="1940" w:val="left"/>
          <w:tab w:leader="none" w:pos="2460" w:val="left"/>
          <w:tab w:leader="none" w:pos="3540" w:val="left"/>
          <w:tab w:leader="none" w:pos="4020" w:val="left"/>
          <w:tab w:leader="none" w:pos="4640" w:val="left"/>
          <w:tab w:leader="none" w:pos="5180" w:val="left"/>
        </w:tabs>
        <w:rPr>
          <w:sz w:val="20"/>
          <w:szCs w:val="20"/>
          <w:color w:val="auto"/>
        </w:rPr>
      </w:pPr>
      <w:r>
        <w:rPr>
          <w:rFonts w:ascii="Times New Roman" w:cs="Times New Roman" w:eastAsia="Times New Roman" w:hAnsi="Times New Roman"/>
          <w:sz w:val="18"/>
          <w:szCs w:val="18"/>
          <w:color w:val="auto"/>
        </w:rPr>
        <w:t>Traktandierungsgesuch</w:t>
        <w:tab/>
        <w:t>hat</w:t>
      </w:r>
      <w:r>
        <w:rPr>
          <w:sz w:val="20"/>
          <w:szCs w:val="20"/>
          <w:color w:val="auto"/>
        </w:rPr>
        <w:tab/>
      </w:r>
      <w:r>
        <w:rPr>
          <w:rFonts w:ascii="Times New Roman" w:cs="Times New Roman" w:eastAsia="Times New Roman" w:hAnsi="Times New Roman"/>
          <w:sz w:val="18"/>
          <w:szCs w:val="18"/>
          <w:color w:val="auto"/>
        </w:rPr>
        <w:t>mindestens</w:t>
        <w:tab/>
        <w:t>40</w:t>
      </w:r>
      <w:r>
        <w:rPr>
          <w:sz w:val="20"/>
          <w:szCs w:val="20"/>
          <w:color w:val="auto"/>
        </w:rPr>
        <w:tab/>
      </w:r>
      <w:r>
        <w:rPr>
          <w:rFonts w:ascii="Times New Roman" w:cs="Times New Roman" w:eastAsia="Times New Roman" w:hAnsi="Times New Roman"/>
          <w:sz w:val="18"/>
          <w:szCs w:val="18"/>
          <w:color w:val="auto"/>
        </w:rPr>
        <w:t>Tage</w:t>
        <w:tab/>
        <w:t>vor</w:t>
      </w:r>
      <w:r>
        <w:rPr>
          <w:sz w:val="20"/>
          <w:szCs w:val="20"/>
          <w:color w:val="auto"/>
        </w:rPr>
        <w:tab/>
      </w:r>
      <w:r>
        <w:rPr>
          <w:rFonts w:ascii="Times New Roman" w:cs="Times New Roman" w:eastAsia="Times New Roman" w:hAnsi="Times New Roman"/>
          <w:sz w:val="17"/>
          <w:szCs w:val="17"/>
          <w:color w:val="auto"/>
        </w:rPr>
        <w:t>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Generalversammlung bei der Gesellschaft einzutreffen.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shall be held within six months after closing of the business year. Extraordinary Meetings of Shareholders shall be called as often as necessary, in particular if provided for by law.</w:t>
      </w:r>
    </w:p>
    <w:p>
      <w:pPr>
        <w:spacing w:after="0" w:line="3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Meeting of Shareholders shall be called no later than 20 days prior to the date of the meeting in writing by letter or e-mail to the address of each individual shareholder and usufructuary recorded in the share register or by way of announcement in the Swiss Commercial Gazette (SHAB). The meeting shall be called by the Board of Directors or, if required, by the Auditors. The liquidators and the representatives of the bondholders also have the convening right.</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Meeting of Shareholders may also be convened by one or more shareholders who together represent at least 5 percent of the share capital or votes. They must request the convocation in writing. The items on the agenda and the proposals must be included in the request.</w:t>
      </w:r>
    </w:p>
    <w:p>
      <w:pPr>
        <w:spacing w:after="0" w:line="3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collectively representing at least 0.5 percent of the share capital or votes may request that an item be included on the agenda. The written request for an item to be placed on the agenda must be received by the Company at least 40 days before the Meeting of Shareholders.</w:t>
      </w:r>
    </w:p>
    <w:p>
      <w:pPr>
        <w:spacing w:after="0" w:line="388" w:lineRule="exact"/>
        <w:rPr>
          <w:sz w:val="20"/>
          <w:szCs w:val="20"/>
          <w:color w:val="auto"/>
        </w:rPr>
      </w:pPr>
    </w:p>
    <w:p>
      <w:pPr>
        <w:sectPr>
          <w:pgSz w:w="11900" w:h="16838" w:orient="portrait"/>
          <w:cols w:equalWidth="0" w:num="2">
            <w:col w:w="5420" w:space="440"/>
            <w:col w:w="5380"/>
          </w:cols>
          <w:pgMar w:left="320" w:top="792" w:right="339" w:bottom="1440" w:gutter="0" w:footer="0" w:header="0"/>
          <w:type w:val="continuous"/>
        </w:sectPr>
      </w:pPr>
    </w:p>
    <w:p>
      <w:pPr>
        <w:spacing w:after="0" w:line="7"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ln der Einberufung sind bekanntzugeben:</w:t>
      </w:r>
      <w:r>
        <w:rPr>
          <w:sz w:val="20"/>
          <w:szCs w:val="20"/>
          <w:color w:val="auto"/>
        </w:rPr>
        <w:tab/>
      </w:r>
      <w:r>
        <w:rPr>
          <w:rFonts w:ascii="Times New Roman" w:cs="Times New Roman" w:eastAsia="Times New Roman" w:hAnsi="Times New Roman"/>
          <w:sz w:val="17"/>
          <w:szCs w:val="17"/>
          <w:color w:val="auto"/>
        </w:rPr>
        <w:t>The notice convening the meeting shall state:</w:t>
      </w:r>
    </w:p>
    <w:p>
      <w:pPr>
        <w:spacing w:after="0" w:line="225" w:lineRule="exact"/>
        <w:rPr>
          <w:sz w:val="20"/>
          <w:szCs w:val="20"/>
          <w:color w:val="auto"/>
        </w:rPr>
      </w:pPr>
    </w:p>
    <w:p>
      <w:pPr>
        <w:ind w:left="460"/>
        <w:spacing w:after="0"/>
        <w:tabs>
          <w:tab w:leader="none" w:pos="900" w:val="left"/>
          <w:tab w:leader="none" w:pos="1320" w:val="left"/>
          <w:tab w:leader="none" w:pos="2020" w:val="left"/>
          <w:tab w:leader="none" w:pos="2400" w:val="left"/>
          <w:tab w:leader="none" w:pos="3140" w:val="left"/>
          <w:tab w:leader="none" w:pos="3520" w:val="left"/>
          <w:tab w:leader="none" w:pos="3920" w:val="left"/>
          <w:tab w:leader="none" w:pos="4360" w:val="left"/>
          <w:tab w:leader="none" w:pos="4760" w:val="left"/>
          <w:tab w:leader="none" w:pos="5160" w:val="left"/>
          <w:tab w:leader="none" w:pos="6300" w:val="left"/>
          <w:tab w:leader="none" w:pos="6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das</w:t>
        <w:tab/>
        <w:t>Datum,</w:t>
        <w:tab/>
        <w:t>der</w:t>
        <w:tab/>
        <w:t>Beginn,</w:t>
        <w:tab/>
        <w:t>die</w:t>
        <w:tab/>
        <w:t>Art</w:t>
        <w:tab/>
        <w:t>und</w:t>
        <w:tab/>
        <w:t>der</w:t>
        <w:tab/>
        <w:t>Ort</w:t>
        <w:tab/>
        <w:t>der</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the date, the beginning, the type and the place of the Meeting</w:t>
      </w:r>
    </w:p>
    <w:p>
      <w:pPr>
        <w:spacing w:after="0" w:line="27" w:lineRule="exact"/>
        <w:rPr>
          <w:sz w:val="20"/>
          <w:szCs w:val="20"/>
          <w:color w:val="auto"/>
        </w:rPr>
      </w:pPr>
    </w:p>
    <w:p>
      <w:pPr>
        <w:ind w:left="920"/>
        <w:spacing w:after="0"/>
        <w:tabs>
          <w:tab w:leader="none" w:pos="6740" w:val="left"/>
        </w:tabs>
        <w:rPr>
          <w:sz w:val="20"/>
          <w:szCs w:val="20"/>
          <w:color w:val="auto"/>
        </w:rPr>
      </w:pPr>
      <w:r>
        <w:rPr>
          <w:rFonts w:ascii="Times New Roman" w:cs="Times New Roman" w:eastAsia="Times New Roman" w:hAnsi="Times New Roman"/>
          <w:sz w:val="18"/>
          <w:szCs w:val="18"/>
          <w:color w:val="auto"/>
        </w:rPr>
        <w:t>Generalversammlung;</w:t>
      </w:r>
      <w:r>
        <w:rPr>
          <w:sz w:val="20"/>
          <w:szCs w:val="20"/>
          <w:color w:val="auto"/>
        </w:rPr>
        <w:tab/>
      </w:r>
      <w:r>
        <w:rPr>
          <w:rFonts w:ascii="Times New Roman" w:cs="Times New Roman" w:eastAsia="Times New Roman" w:hAnsi="Times New Roman"/>
          <w:sz w:val="18"/>
          <w:szCs w:val="18"/>
          <w:color w:val="auto"/>
        </w:rPr>
        <w:t>of Shareholders;</w:t>
      </w:r>
    </w:p>
    <w:p>
      <w:pPr>
        <w:sectPr>
          <w:pgSz w:w="11900" w:h="16838" w:orient="portrait"/>
          <w:cols w:equalWidth="0" w:num="1">
            <w:col w:w="11240"/>
          </w:cols>
          <w:pgMar w:left="320" w:top="792" w:right="339" w:bottom="1440" w:gutter="0" w:footer="0" w:header="0"/>
          <w:type w:val="continuous"/>
        </w:sectPr>
      </w:pPr>
    </w:p>
    <w:p>
      <w:pPr>
        <w:spacing w:after="0" w:line="207" w:lineRule="exact"/>
        <w:rPr>
          <w:sz w:val="20"/>
          <w:szCs w:val="20"/>
          <w:color w:val="auto"/>
        </w:rPr>
      </w:pPr>
    </w:p>
    <w:p>
      <w:pPr>
        <w:ind w:left="920" w:hanging="453"/>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Verhandlungsgegenstände;</w:t>
      </w:r>
    </w:p>
    <w:p>
      <w:pPr>
        <w:spacing w:after="0" w:line="225" w:lineRule="exact"/>
        <w:rPr>
          <w:rFonts w:ascii="Times New Roman" w:cs="Times New Roman" w:eastAsia="Times New Roman" w:hAnsi="Times New Roman"/>
          <w:sz w:val="18"/>
          <w:szCs w:val="18"/>
          <w:color w:val="auto"/>
        </w:rPr>
      </w:pPr>
    </w:p>
    <w:p>
      <w:pPr>
        <w:ind w:left="920" w:right="400" w:hanging="453"/>
        <w:spacing w:after="0" w:line="282" w:lineRule="auto"/>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Anträge des Verwaltungsrats gegebenenfalls die Anträge der Aktionäre samt kurzer Begründung;</w:t>
      </w:r>
    </w:p>
    <w:p>
      <w:pPr>
        <w:spacing w:after="0" w:line="377" w:lineRule="exact"/>
        <w:rPr>
          <w:rFonts w:ascii="Times New Roman" w:cs="Times New Roman" w:eastAsia="Times New Roman" w:hAnsi="Times New Roman"/>
          <w:sz w:val="18"/>
          <w:szCs w:val="18"/>
          <w:color w:val="auto"/>
        </w:rPr>
      </w:pPr>
    </w:p>
    <w:p>
      <w:pPr>
        <w:ind w:left="920" w:right="400" w:hanging="453"/>
        <w:spacing w:after="0" w:line="282" w:lineRule="auto"/>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gegebenenfalls der Name und die Adresse des unabhängigen Stimmrechtsvertreters.</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448" w:hanging="448"/>
        <w:spacing w:after="0"/>
        <w:tabs>
          <w:tab w:leader="none" w:pos="4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items on the agenda;</w:t>
      </w:r>
    </w:p>
    <w:p>
      <w:pPr>
        <w:spacing w:after="0" w:line="225" w:lineRule="exact"/>
        <w:rPr>
          <w:rFonts w:ascii="Times New Roman" w:cs="Times New Roman" w:eastAsia="Times New Roman" w:hAnsi="Times New Roman"/>
          <w:sz w:val="18"/>
          <w:szCs w:val="18"/>
          <w:color w:val="auto"/>
        </w:rPr>
      </w:pPr>
    </w:p>
    <w:p>
      <w:pPr>
        <w:jc w:val="both"/>
        <w:ind w:left="448" w:hanging="448"/>
        <w:spacing w:after="0" w:line="266" w:lineRule="auto"/>
        <w:tabs>
          <w:tab w:leader="none" w:pos="4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motions of the Board of Directors, if any, the motions of the shareholders, together with a brief statement of the reasons therefor;</w:t>
      </w:r>
    </w:p>
    <w:p>
      <w:pPr>
        <w:spacing w:after="0" w:line="175"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 and address of the independent proxy.</w:t>
      </w:r>
    </w:p>
    <w:p>
      <w:pPr>
        <w:sectPr>
          <w:pgSz w:w="11900" w:h="16838" w:orient="portrait"/>
          <w:cols w:equalWidth="0" w:num="2">
            <w:col w:w="5820" w:space="492"/>
            <w:col w:w="4928"/>
          </w:cols>
          <w:pgMar w:left="320" w:top="792" w:right="339" w:bottom="1440" w:gutter="0" w:footer="0" w:header="0"/>
          <w:type w:val="continuous"/>
        </w:sectPr>
      </w:pPr>
    </w:p>
    <w:bookmarkStart w:id="94" w:name="page95"/>
    <w:bookmarkEnd w:id="94"/>
    <w:p>
      <w:pPr>
        <w:jc w:val="both"/>
        <w:spacing w:after="0" w:line="256" w:lineRule="auto"/>
        <w:rPr>
          <w:sz w:val="20"/>
          <w:szCs w:val="20"/>
          <w:color w:val="auto"/>
        </w:rPr>
      </w:pPr>
      <w:r>
        <w:rPr>
          <w:rFonts w:ascii="Times New Roman" w:cs="Times New Roman" w:eastAsia="Times New Roman" w:hAnsi="Times New Roman"/>
          <w:sz w:val="18"/>
          <w:szCs w:val="18"/>
          <w:color w:val="auto"/>
        </w:rPr>
        <w:t>Der Verwaltungsrat stellt sicher, dass die Verhandlungsgegenstände die Einheit der Materie wahren, und legt der Generalversammlung alle lnformationen vor, die für ihre Beschlussfassung von Bedeutung sind. Er darf die Verhandlungsgegenstände in der Einberufung summarisch darstellen, sofern er den Aktionären weiterführende lnformationen elektronisch zugänglich macht.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Über Gegenstände, die nicht in dieser Weise angekündigt worden sind, können unter Vorbehalt der Bestimmungen über die Universalversammlung keine Beschlüsse gefasst werden; ausgenommen sind Anträge auf Einberufung einer ausserordentlichen Generalversammlung, auf Durchführung einer Sonderuntersuchung und auf Wahl einer Revisionsstelle. Dagegen bedarf es zur Stellung von Anträgen im Rahmen der Verhandlungsgegenstände und zu Verhandlungen ohne Beschlussfassung keiner vorherigen Ankündigung.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Spätestens 20 Tage vor der ordentlichen Generalversammlung sind den Aktionären der Geschäftsbericht und gegebenenfalls der Revisionsbericht zugänglich zu machen.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 Verwaltungsrat teilt ihnen mit, wie sie Zugang zu diesen Dokumenten erlangen können.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Sofern die Unterlagen nicht elektronisch zugänglich sind, kann jeder Aktionär verlangen, dass ihm diese rechtzeitig zugestellt werden.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Sofern die Unterlagen nicht elektronisch zugänglich sind, kann jeder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Aktionär während eines Jahres nach der Generalversammlung von 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Gesellschaft verlangen, dass ihm der Geschäftsbericht in der von der</w:t>
      </w:r>
    </w:p>
    <w:p>
      <w:pPr>
        <w:spacing w:after="0" w:line="9" w:lineRule="exact"/>
        <w:rPr>
          <w:sz w:val="20"/>
          <w:szCs w:val="20"/>
          <w:color w:val="auto"/>
        </w:rPr>
      </w:pPr>
    </w:p>
    <w:p>
      <w:pPr>
        <w:spacing w:after="0"/>
        <w:tabs>
          <w:tab w:leader="none" w:pos="1700" w:val="left"/>
          <w:tab w:leader="none" w:pos="2780" w:val="left"/>
          <w:tab w:leader="none" w:pos="3320" w:val="left"/>
          <w:tab w:leader="none" w:pos="3900" w:val="left"/>
          <w:tab w:leader="none" w:pos="5140" w:val="left"/>
        </w:tabs>
        <w:rPr>
          <w:sz w:val="20"/>
          <w:szCs w:val="20"/>
          <w:color w:val="auto"/>
        </w:rPr>
      </w:pPr>
      <w:r>
        <w:rPr>
          <w:rFonts w:ascii="Times New Roman" w:cs="Times New Roman" w:eastAsia="Times New Roman" w:hAnsi="Times New Roman"/>
          <w:sz w:val="18"/>
          <w:szCs w:val="18"/>
          <w:color w:val="auto"/>
        </w:rPr>
        <w:t>Generalversammlung</w:t>
        <w:tab/>
        <w:t>genehmigten</w:t>
        <w:tab/>
        <w:t>Form</w:t>
        <w:tab/>
        <w:t>sowie</w:t>
        <w:tab/>
        <w:t>gegebenenfalls</w:t>
        <w:tab/>
        <w:t>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Revisionsbericht zugestellt werden.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9 – Universalversammlung und Zirkularbeschluss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Die Eigentümer oder Vertreter sämtlicher Aktien können, falls kein Widerspruch erhoben wird, eine Generalversammlung ohne Einhaltung der für die Einberufung vorgeschriebenen Formvorschriften abhalten.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ln dieser Versammlung kann über alle in den Geschäftskreis der Generalversammlung fallenden Gegenstände gültig verhandelt und Beschluss gefasst werden, solange die Eigentümer oder Vertreter sämtlicher Aktien daran teilnehmen.</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shall ensure that the items on the agenda preserve the cohesion of subject matter and shall present to the Meeting of Shareholders all information that is of significance for its decision-making. It may summarize the items on the agenda in the notice of the meeting, provided that it makes further information available to the shareholders electronically.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provisions governing the plenary meeting, no resolutions may be passed on items not announced in the manner outlined above, save for motions to convene an extraordinary Meeting of Shareholders, to conduct a special investigation and to elect an auditor. No advance notice is required to propose motions with respect to agenda items duly notified in advance and to debate agenda items without passing any resolution.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report and, if applicable, the audit report shall be made available to the shareholders no later than 20 days before the Meeting of Shareholders.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shall inform them on how to obtain access to these documents.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documents are not accessible electronically, each shareholder may request that they be sent to him or her in due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documents are not accessible electronically, each shareholder may, for a period of one year after the Meeting of Shareholders, request the Company to send him or her the annual report in the form approved by the Meeting of Shareholders and, if applicable, the audit report.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 Universal Meeting and Circular Resolution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owners or representatives of all the Company’s shares may, if no objection is raised, hold a Meeting of Shareholders without complying with the formal requirements for convening meetings.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long as the owners or representatives of all shares are present or represented at such meeting, all matters which fall within the competence of the Meeting of Shareholders may validly be discussed and resolved upon.</w:t>
      </w:r>
    </w:p>
    <w:p>
      <w:pPr>
        <w:spacing w:after="0" w:line="200" w:lineRule="exact"/>
        <w:rPr>
          <w:sz w:val="20"/>
          <w:szCs w:val="20"/>
          <w:color w:val="auto"/>
        </w:rPr>
      </w:pPr>
    </w:p>
    <w:p>
      <w:pPr>
        <w:sectPr>
          <w:pgSz w:w="11900" w:h="16838" w:orient="portrait"/>
          <w:cols w:equalWidth="0" w:num="2">
            <w:col w:w="5420" w:space="440"/>
            <w:col w:w="5380"/>
          </w:cols>
          <w:pgMar w:left="320" w:top="796" w:right="3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18"/>
          <w:szCs w:val="18"/>
          <w:color w:val="auto"/>
        </w:rPr>
        <w:t>Die Generalversammlung kann ebenfalls ohne Einhaltung der für die Einberufung geltenden Vorschriften abgehalten werden, wenn die Beschlüsse auf schriftlichem Weg auf papier oder in elektronischer Form erfolgen, sofern nicht ein Aktionär oder dessen Vertreter die mündliche Beratung verlangt.</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Meeting of Shareholders may also be held without complying with the formal requirements for convening meetings if the resolutions are passed in writing on paper or in electronic form, unless a shareholder or his or her representative requests oral deliberation.</w:t>
      </w:r>
    </w:p>
    <w:p>
      <w:pPr>
        <w:spacing w:after="0" w:line="391" w:lineRule="exact"/>
        <w:rPr>
          <w:sz w:val="20"/>
          <w:szCs w:val="20"/>
          <w:color w:val="auto"/>
        </w:rPr>
      </w:pPr>
    </w:p>
    <w:p>
      <w:pPr>
        <w:sectPr>
          <w:pgSz w:w="11900" w:h="16838" w:orient="portrait"/>
          <w:cols w:equalWidth="0" w:num="2">
            <w:col w:w="5420" w:space="440"/>
            <w:col w:w="5380"/>
          </w:cols>
          <w:pgMar w:left="320" w:top="796" w:right="339" w:bottom="1440" w:gutter="0" w:footer="0" w:header="0"/>
        </w:sect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Artikel 10 – Tagungsort</w:t>
      </w:r>
      <w:r>
        <w:rPr>
          <w:sz w:val="20"/>
          <w:szCs w:val="20"/>
          <w:color w:val="auto"/>
        </w:rPr>
        <w:tab/>
      </w:r>
      <w:r>
        <w:rPr>
          <w:rFonts w:ascii="Times New Roman" w:cs="Times New Roman" w:eastAsia="Times New Roman" w:hAnsi="Times New Roman"/>
          <w:sz w:val="17"/>
          <w:szCs w:val="17"/>
          <w:b w:val="1"/>
          <w:bCs w:val="1"/>
          <w:color w:val="auto"/>
        </w:rPr>
        <w:t>Article 10 – Venue</w:t>
      </w:r>
    </w:p>
    <w:p>
      <w:pPr>
        <w:sectPr>
          <w:pgSz w:w="11900" w:h="16838" w:orient="portrait"/>
          <w:cols w:equalWidth="0" w:num="1">
            <w:col w:w="11240"/>
          </w:cols>
          <w:pgMar w:left="320" w:top="796"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bestimmt den Tagungsort der Generalversammlung.</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Durch die Festlegung des Tagungsortes darf für keinen Aktionär die Ausübung seiner Rechte im Zusammenhang mit der Generalversammlung in unsachlicher Weise erschwert werden.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Generalversammlung kann an verschiedenen Orten im ln- oder Ausland gleichzeitig durchgeführt werden. Die Voten der Teilnehmer müssen in diesem Fall unmittelbar in Bild und Ton an sämtliche Tagungsorte übertragen werden.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Generalversammlung kann auch im Ausland durchgeführt werden.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kann vorsehen, dass Aktionäre, die nicht am Ort der Generalversammlung anwesend sind, ihre Rechte auf elektronischem Weg ausüben können.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11 – Virtuelle Generalversammlung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shall determine the venue of the Meeting of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the venue shall not make it inappropriately difficult for any shareholder to exercise his or her rights in connection with the Meeting of Shareholders.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Meeting of Shareholders may be held simultaneously at various locations in Switzerland or abroad. In this case, the votes of the participants must be transmitted directly in sound and vision to all meeting locations.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of Shareholders may also be held abroad.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provide that shareholders who are not present at the venue of the Meeting of Shareholders may exercise their rights by electronic means.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 Virtual Meeting of Shareholders</w:t>
      </w:r>
    </w:p>
    <w:p>
      <w:pPr>
        <w:spacing w:after="0" w:line="200" w:lineRule="exact"/>
        <w:rPr>
          <w:sz w:val="20"/>
          <w:szCs w:val="20"/>
          <w:color w:val="auto"/>
        </w:rPr>
      </w:pPr>
    </w:p>
    <w:p>
      <w:pPr>
        <w:sectPr>
          <w:pgSz w:w="11900" w:h="16838" w:orient="portrait"/>
          <w:cols w:equalWidth="0" w:num="2">
            <w:col w:w="5420" w:space="440"/>
            <w:col w:w="5380"/>
          </w:cols>
          <w:pgMar w:left="320" w:top="796" w:right="339" w:bottom="1440" w:gutter="0" w:footer="0" w:header="0"/>
          <w:type w:val="continuous"/>
        </w:sectPr>
      </w:pPr>
    </w:p>
    <w:p>
      <w:pPr>
        <w:spacing w:after="0" w:line="29" w:lineRule="exact"/>
        <w:rPr>
          <w:sz w:val="20"/>
          <w:szCs w:val="20"/>
          <w:color w:val="auto"/>
        </w:rPr>
      </w:pPr>
    </w:p>
    <w:p>
      <w:pPr>
        <w:spacing w:after="0"/>
        <w:tabs>
          <w:tab w:leader="none" w:pos="480" w:val="left"/>
          <w:tab w:leader="none" w:pos="2200" w:val="left"/>
          <w:tab w:leader="none" w:pos="2720" w:val="left"/>
          <w:tab w:leader="none" w:pos="3140" w:val="left"/>
          <w:tab w:leader="none" w:pos="4340" w:val="left"/>
          <w:tab w:leader="none" w:pos="5040" w:val="left"/>
        </w:tabs>
        <w:rPr>
          <w:sz w:val="20"/>
          <w:szCs w:val="20"/>
          <w:color w:val="auto"/>
        </w:rPr>
      </w:pPr>
      <w:r>
        <w:rPr>
          <w:rFonts w:ascii="Times New Roman" w:cs="Times New Roman" w:eastAsia="Times New Roman" w:hAnsi="Times New Roman"/>
          <w:sz w:val="18"/>
          <w:szCs w:val="18"/>
          <w:color w:val="auto"/>
        </w:rPr>
        <w:t>Eine</w:t>
        <w:tab/>
        <w:t>Generalversammlung</w:t>
        <w:tab/>
        <w:t>kann</w:t>
        <w:tab/>
        <w:t>mit</w:t>
        <w:tab/>
        <w:t>elektronischen</w:t>
        <w:tab/>
        <w:t>Mitteln</w:t>
        <w:tab/>
        <w:t>ohne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physischen Tagungsort durchgeführt werden (virtuelle Generalversammlung).</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Der Verwaltungsrat regelt die Verwendung der elektronischen Mittel. Er stellt sicher, dass</w:t>
      </w:r>
    </w:p>
    <w:p>
      <w:pPr>
        <w:spacing w:after="0" w:line="162" w:lineRule="exact"/>
        <w:rPr>
          <w:sz w:val="20"/>
          <w:szCs w:val="20"/>
          <w:color w:val="auto"/>
        </w:rPr>
      </w:pPr>
    </w:p>
    <w:p>
      <w:pPr>
        <w:ind w:left="920" w:hanging="453"/>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ldentität der Teilnehmer feststeht;</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Voten in der Generalversammlung unmittelbar übertragen werden;</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jeder Teilnehmer Anträge stellen und sich an der Diskussion beteiligen kann;</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Abstimmungsergebnis nicht verfälscht werden kann.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Meeting of Shareholders may be held by electronic means without a meeting venue (virtual Meeting of Shareholders).</w:t>
      </w:r>
    </w:p>
    <w:p>
      <w:pPr>
        <w:spacing w:after="0" w:line="3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determines the use of electronic means. It ensures that</w:t>
      </w:r>
    </w:p>
    <w:p>
      <w:pPr>
        <w:spacing w:after="0" w:line="162" w:lineRule="exact"/>
        <w:rPr>
          <w:sz w:val="20"/>
          <w:szCs w:val="20"/>
          <w:color w:val="auto"/>
        </w:rPr>
      </w:pPr>
    </w:p>
    <w:p>
      <w:pPr>
        <w:ind w:left="900" w:hanging="448"/>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participants is established;</w:t>
      </w:r>
    </w:p>
    <w:p>
      <w:pPr>
        <w:spacing w:after="0" w:line="225"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in the Meeting of Shareholders are transmitted directly;</w:t>
      </w:r>
    </w:p>
    <w:p>
      <w:pPr>
        <w:spacing w:after="0" w:line="16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can make motions and take part in the discussion;</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results cannot be falsified.</w:t>
      </w:r>
    </w:p>
    <w:p>
      <w:pPr>
        <w:spacing w:after="0" w:line="200" w:lineRule="exact"/>
        <w:rPr>
          <w:sz w:val="20"/>
          <w:szCs w:val="20"/>
          <w:color w:val="auto"/>
        </w:rPr>
      </w:pPr>
    </w:p>
    <w:p>
      <w:pPr>
        <w:sectPr>
          <w:pgSz w:w="11900" w:h="16838" w:orient="portrait"/>
          <w:cols w:equalWidth="0" w:num="2">
            <w:col w:w="5420" w:space="440"/>
            <w:col w:w="5380"/>
          </w:cols>
          <w:pgMar w:left="320" w:top="796" w:right="33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18"/>
          <w:szCs w:val="18"/>
          <w:color w:val="auto"/>
        </w:rPr>
        <w:t>Treten während der Generalversammlung technische Probleme auf, sodass die Generalversammlung nicht ordnungsgemäss durchgeführt werden kann, so muss sie wiederholt werden. Beschlüsse, welche die Generalversammlung vor dem Auftreten der technischen Probleme gefasst hat, bleiben gültig.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Artikel 12 – Vorsitz und Protokoll; Teilnahme der Mitglieder des Verwaltungsrates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Den Vorsitz der Generalversammlung führt der Präsident oder ein anderes Mitglied des Verwaltungsrates. Die Person, die den Vorsitz in der Generalversammlung führt, muss kein Aktionär sein. lst kein Mitglied des Verwaltungsrates anwesend, wählt die Generalversammlung einen Tagesvorsitzenden. Der Vorsitzende bezeichnet den Protokollführer und die Stimmenzähler, die nicht Aktionäre sein müssen.</w:t>
      </w: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Der Verwaltungsrat sorgt für die Führung des Protokolls. Dieses Protokoll hält fest:</w:t>
      </w:r>
    </w:p>
    <w:p>
      <w:pPr>
        <w:spacing w:after="0" w:line="162" w:lineRule="exact"/>
        <w:rPr>
          <w:sz w:val="20"/>
          <w:szCs w:val="20"/>
          <w:color w:val="auto"/>
        </w:rPr>
      </w:pPr>
    </w:p>
    <w:p>
      <w:pPr>
        <w:ind w:left="920" w:hanging="453"/>
        <w:spacing w:after="0" w:line="282" w:lineRule="auto"/>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Datum, den Beginn und das Ende sowie die Art und den Ort der Generalversammlung;</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Anzahl, die Art, den Nennwert und die Kategorie der vertretenen Aktien, unter Angabe der Aktien, die vom unabhängigen Stimmrechtsvertreter vertreten werden;</w:t>
      </w:r>
    </w:p>
    <w:p>
      <w:pPr>
        <w:spacing w:after="0" w:line="17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Beschlüsse und die Wahlergebnisse;</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in der Generalversammlung gestellten Begehren um Auskunft und die darauf erteilten Antworten;</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von den Aktionären zu Protokoll gegebenen Erklärungen;</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relevante technische Probleme, die bei der Durchführung der Generalversammlung auftreten.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Das Protokoll ist vom Vorsitzenden der Generalversammlung und vom Protokollführer zu unterzeichnen. Jeder Aktionär kann verlangen, dass ihm das Protokoll innerhalb von 30 Tagen nach der Generalversammlung zugänglich gemacht wird.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Mitglieder des Verwaltungsrates sind be-</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lf technical problems occur during the Meeting of Shareholders so that the Meeting of Shareholders cannot be held properly, it must be repeated. Resolutions passed by the Meeting of Shareholders before the occurrence of such technical problems shall remain valid.</w:t>
      </w:r>
    </w:p>
    <w:p>
      <w:pPr>
        <w:spacing w:after="0" w:line="3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Article 12 – Chairperson and Minutes; Participation of the Members of the Board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Meeting of Shareholders shall be chaired by the President of the Board of Directors or by another member of the Board of Directors. The person chairing the meeting does not need to be a shareholder. lf no member of the Board of Directors is present, the Meeting of Shareholders elects a chairperson of the day. The Chairperson of the Meeting of Shareholders designates the secretary and the scrutineer who do not need to be shareholders.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shall ensure that minutes are taken. The minutes shall record:</w:t>
      </w:r>
    </w:p>
    <w:p>
      <w:pPr>
        <w:spacing w:after="0" w:line="162" w:lineRule="exact"/>
        <w:rPr>
          <w:sz w:val="20"/>
          <w:szCs w:val="20"/>
          <w:color w:val="auto"/>
        </w:rPr>
      </w:pPr>
    </w:p>
    <w:p>
      <w:pPr>
        <w:ind w:left="900" w:right="20" w:hanging="448"/>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beginning and the end, as well as the type and the place of the Meeting of Shareholders;</w:t>
      </w:r>
    </w:p>
    <w:p>
      <w:pPr>
        <w:spacing w:after="0" w:line="161"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type, par value and category of shares represented, specifying the shares represented by the independent proxy;</w:t>
      </w:r>
    </w:p>
    <w:p>
      <w:pPr>
        <w:spacing w:after="0" w:line="17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and the election results;</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requests for information made at the Meeting of Shareholders and the answers given thereto;</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by the shareholders for the record;</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technical problems encountered in the conduct of the Meeting of Shareholders.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minutes shall be signed by the Chairperson of the Meeting of Shareholders and the keeper of the minutes. Any shareholder may request that the minutes be made available to him or to her within 30 days of the Meeting of Shareholders.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members of the Board of Directors are entitled to attend the Meeting of Shareholders.</w:t>
      </w:r>
    </w:p>
    <w:p>
      <w:pPr>
        <w:spacing w:after="0" w:line="200" w:lineRule="exact"/>
        <w:rPr>
          <w:sz w:val="20"/>
          <w:szCs w:val="20"/>
          <w:color w:val="auto"/>
        </w:rPr>
      </w:pPr>
    </w:p>
    <w:p>
      <w:pPr>
        <w:sectPr>
          <w:pgSz w:w="11900" w:h="16838" w:orient="portrait"/>
          <w:cols w:equalWidth="0" w:num="2">
            <w:col w:w="5420" w:space="440"/>
            <w:col w:w="5380"/>
          </w:cols>
          <w:pgMar w:left="320" w:top="796" w:right="33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97" w:name="page98"/>
    <w:bookmarkEnd w:id="97"/>
    <w:p>
      <w:pPr>
        <w:jc w:val="both"/>
        <w:spacing w:after="0" w:line="282" w:lineRule="auto"/>
        <w:rPr>
          <w:sz w:val="20"/>
          <w:szCs w:val="20"/>
          <w:color w:val="auto"/>
        </w:rPr>
      </w:pPr>
      <w:r>
        <w:rPr>
          <w:rFonts w:ascii="Times New Roman" w:cs="Times New Roman" w:eastAsia="Times New Roman" w:hAnsi="Times New Roman"/>
          <w:sz w:val="18"/>
          <w:szCs w:val="18"/>
          <w:color w:val="auto"/>
        </w:rPr>
        <w:t>rechtigt, an der Generalversammlung teilzunehmen. Sie können Anträge stellen.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13 – Stimmrecht und Vertretung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Jede Aktie verfügt, unabhängig von ihrem Nennwert, über eine Stimme.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Rechte an den Aktien sind unteilbar.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Jeder stimmberechtigte Aktionär kann seine Aktien in der Generalversammlung selbst vertreten oder durch den unabhängigen Stimmrechtsvertreter, einen Vertreterseiner Wahl (der nicht Aktionär sein muss) auf Grundlage einer schriftlichen Vollmacht oder den gesetzlichen Vertreter ausüben lassen.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Der unabhängige Stimmrechtsvertreter wird von der Generalversammlung für eine Amtsdauer bis zum Abschluss der nächsten ordentlichen Generalversammlung gewählt und kann wiedergewählt werden. Hat die Gesellschaft keinen unabhängigen Stimmrechtsvertreter oder ist der unabhängige Stimmrechtsvertreter verhindert, bezeichnet der Verwaltungsrat den unabhängigen Stimmrechtsvertreter für die nächste Generalversammlung.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14 – Beschlussfassung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Generalversammlung fasst ihre Beschlüsse und vollzieht ihre Wahlen, soweit das Gesetz oder die Statuten es nicht anders bestimmen, mit der absoluten Mehrheit der vertretenen Aktienstimmen. Bei Stimmengleichheit gilt ein Antrag als abgelehnt. Dem Vorsitzenden steht kein Stichentscheid zu.</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Bevor ein Beschluss nach Artikel 7 Ziffer 3 und 4 dieser Statuten gefasst werden kann, muss der Generalversammlung der Revisionsbericht vorliegen. Die Revisionsstelle muss an der Generalversammlung anwesend sein.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Ein Beschluss der Generalversammlung, der mindestens zwei Drittel (66⅔ %) aller an der Generalversammlung vertretenen Aktienstimmen und die Mehrheit der vertretenen Aktiennennwerte auf sich vereinigt, ist erforderlich für:</w:t>
      </w:r>
    </w:p>
    <w:p>
      <w:pPr>
        <w:spacing w:after="0" w:line="180" w:lineRule="exact"/>
        <w:rPr>
          <w:sz w:val="20"/>
          <w:szCs w:val="20"/>
          <w:color w:val="auto"/>
        </w:rPr>
      </w:pPr>
    </w:p>
    <w:p>
      <w:pPr>
        <w:ind w:left="920" w:hanging="453"/>
        <w:spacing w:after="0"/>
        <w:tabs>
          <w:tab w:leader="none" w:pos="9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Änderung des Gesellschaftszwecks;</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Zusammenlegung von Aktien, soweit dafür nicht die Zustimmung aller betroffenen Aktionäre erforderlich ist;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They may make motions.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 Voting Right and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shall be entitled to one vote, regardless of its nominal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are not divisible.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shareholder entitled to vote may represent his or her shares at the Meeting of Shareholders or may have them represented by the independent proxy, a representative of his or her choice (who do not need to be a share holder) based on a written power of attorney or its legal representative.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independent proxy shall be elected by the Meeting of Shareholders for a term of office until completion of the next annual Meeting of Shareholders and shall be eligible for re-election. If the Company does not have an independent proxy or if the independent proxy is unable to attend, the Board of Directors shall appoint the independent proxy for the next Meeting of Shareholders.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 Resolutions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or the Articles of Association, the Meeting of Shareholders passes resolutions and conducts elections by an absolute majority of all votes represented. In the event of a tie, a motion shall be deemed rejected. The Chairperson of the Meeting of Shareholders does not have the casting vote.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passing a resolution according to Article 7 Sections 3 and 4 of these Articles of Association, the audit report must be available to the Meeting of Shareholders. The Auditors must be present at the Meeting of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resolution passed by at least two thirds (66⅔ %) of the votes represented at the meeting and the majority of the aggregate nominal value of the shares represented is required for:</w:t>
      </w:r>
    </w:p>
    <w:p>
      <w:pPr>
        <w:spacing w:after="0" w:line="392" w:lineRule="exact"/>
        <w:rPr>
          <w:sz w:val="20"/>
          <w:szCs w:val="20"/>
          <w:color w:val="auto"/>
        </w:rPr>
      </w:pPr>
    </w:p>
    <w:p>
      <w:pPr>
        <w:ind w:left="900" w:hanging="448"/>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Company’s purpose;</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insofar as this does not require the consent of all shareholders affected;</w:t>
      </w:r>
    </w:p>
    <w:p>
      <w:pPr>
        <w:spacing w:after="0" w:line="200" w:lineRule="exact"/>
        <w:rPr>
          <w:sz w:val="20"/>
          <w:szCs w:val="20"/>
          <w:color w:val="auto"/>
        </w:rPr>
      </w:pPr>
    </w:p>
    <w:p>
      <w:pPr>
        <w:sectPr>
          <w:pgSz w:w="11900" w:h="16838" w:orient="portrait"/>
          <w:cols w:equalWidth="0" w:num="2">
            <w:col w:w="5420" w:space="440"/>
            <w:col w:w="5380"/>
          </w:cols>
          <w:pgMar w:left="320" w:top="796" w:right="33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98" w:name="page99"/>
    <w:bookmarkEnd w:id="98"/>
    <w:p>
      <w:pPr>
        <w:jc w:val="both"/>
        <w:ind w:left="920" w:hanging="453"/>
        <w:spacing w:after="0" w:line="266" w:lineRule="auto"/>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Kapitalerhöhung aus Eigenkapital, gegen Sacheinlagen oder durch Verrechnung von Forderungen und die Gewährung von besonderen Vorteilen;</w:t>
      </w:r>
    </w:p>
    <w:p>
      <w:pPr>
        <w:spacing w:after="0" w:line="17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Umwandlung von Partizipationsscheinen in Aktien;</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Einschränkung oder Aufhebung des Bezugsrechts;</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Einführung eines bedingten Kapitals oder eines Kapitalbands;</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Beschränkung der Ubertragbarkeit von Namenaktien;</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Einführung von Stimmrechtsaktien;</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 Wechsel der Währung des Aktienkapitals;</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Einführung des Stichentscheids des Vorsitzenden in der Generalversammlung;</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eine Statutenbestimmung zur Durchführung der Generalversammlung im Ausland;</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Verlegung des Sitzes der Gesellschaft;</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Dekotierung der Beteiligungspapiere der Gesellschaft;</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Einführung einer statutarischen Schiedsklausel; und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Auflösung der Gesellschaft mit oder ohne Liquidation.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Statutenbestimmungen, die für die Fassung bestimmter Beschlüsse grössere Mehrheiten als die vom Gesetz vorgeschriebenen festlegen, können nur mit dem vorgesehenen Mehr eingeführt, geändert oder aufgehoben werden.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 Übrigen richten sich die Befugnisse und die Organisation der Generalversammlung, soweit die Statuten nicht etwas anderes festlegen, nach den gesetzlichen Vorschriften.</w:t>
      </w:r>
    </w:p>
    <w:p>
      <w:pPr>
        <w:spacing w:after="0" w:line="20" w:lineRule="exact"/>
        <w:rPr>
          <w:sz w:val="20"/>
          <w:szCs w:val="20"/>
          <w:color w:val="auto"/>
        </w:rPr>
      </w:pPr>
      <w:r>
        <w:rPr>
          <w:sz w:val="20"/>
          <w:szCs w:val="20"/>
          <w:color w:val="auto"/>
        </w:rPr>
        <w:br w:type="column"/>
      </w:r>
    </w:p>
    <w:p>
      <w:pPr>
        <w:jc w:val="both"/>
        <w:ind w:left="900" w:hanging="448"/>
        <w:spacing w:after="0" w:line="266"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increase against the Company’s equity, against contributions in kind, or by offsetting receivables, as well as the granting of special privileges;</w:t>
      </w:r>
    </w:p>
    <w:p>
      <w:pPr>
        <w:spacing w:after="0" w:line="17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participation certificates into shares;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or withdrawal of subscription rights;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 conditional capital or a capital band;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of the transferability of registered shares;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shares with privileged voting rights;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currency of the share capital;</w:t>
      </w:r>
    </w:p>
    <w:p>
      <w:pPr>
        <w:spacing w:after="0" w:line="225"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the casting vote of the Chairperson in the Meeting of Shareholders;</w:t>
      </w:r>
    </w:p>
    <w:p>
      <w:pPr>
        <w:spacing w:after="0" w:line="161"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the Articles of Association for the holding of the Meeting of Shareholders abroad;</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registered office of the Company;</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shares of the Company;</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 arbitration clause in the Articles of Association; and</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or liquidation of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the Articles of Association contain provisions which set higher majorities than those provided for by law for the adoption of certain resolutions, such provisions may be introduced, amended or repealed only with such higher majority.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unless the Articles of Association provide otherwise, the powers and organization of the Meeting of Shareholders are governed by the law.</w:t>
      </w:r>
    </w:p>
    <w:p>
      <w:pPr>
        <w:spacing w:after="0" w:line="401"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9" w:name="page100"/>
    <w:bookmarkEnd w:id="99"/>
    <w:p>
      <w:pPr>
        <w:ind w:right="3200" w:firstLine="8"/>
        <w:spacing w:after="0" w:line="532" w:lineRule="auto"/>
        <w:tabs>
          <w:tab w:leader="none" w:pos="459"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VERWALTUNGSRAT Artikel 15 – Organisation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besteht aus fünf Mitgliedern.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Vorbehältlich der Wahl des Präsidenten des Verwaltungsrats und der Mitglieder des Vergütungsausschusses durch die Generalversammlung konstituiert sich der Verwaltungsrat selber. Er bezeichnet den Sekretär, der dem Verwaltungsrat nicht angehören muss. lst das Präsidium des Verwaltungsrats vakant, bezeichnet der Verwaltungsrat aus seiner Mitte einen Präsidenten für die verbleibende Amtsdauer.</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 Verwaltungsrat kann im Rahmen seiner Zuständigkeit und Befugnisse Reglemente erlassen. Solche Reglemente können für wichtige Entscheide des Verwaltungsrates auch qualifizierte Präsenz- und Zustimmungsquoren vorsehen.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16 – Bestellung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Mitglieder des Verwaltungsrates, der Präsident des Veruraltungsrats sowie die Mitglieder des Vergütungsausschusses werden durch die Generalversammlung jeweils einzeln für die Dauer von einem Jahr bis zum Abschluss der nächsten ordentlichen Generalversammlung gewählt. Wiederwahl ist zulässig.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Neugewählte treten in die Amtsdauer derjenigen Mitglieder ein, die sie ersetzen.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17 – Sitzungen und Beschlussfassung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Sitzungen des Verwaltungsrates werden durch den Präsidenten oder, im Verhinderungsfalle, durch ein anderes Mitglied mittels schriftlicher Mitteilung (Brief oder E-Mail) so häufig einberufen, wie es die Geschäfte erfordern. Jedes Mitglied kann unter Angabe der Gründe vom Präsidenten die unverzügliche Einberufung einer Sitzung verlangen.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Die Einberufung des Verwaltungsrates hat mindestens 10 Tage vor dem Sitzungstage zu erfolgen. In dringenden Fällen kann diese Frist verkürzt werden.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 Verwaltungsrat fasst seine Beschlüsse an Sitzungen mit Tagungsort (einschliesslich über Telefon-, Video- oder Computerkonferenz oder</w:t>
      </w:r>
    </w:p>
    <w:p>
      <w:pPr>
        <w:spacing w:after="0" w:line="20" w:lineRule="exact"/>
        <w:rPr>
          <w:sz w:val="20"/>
          <w:szCs w:val="20"/>
          <w:color w:val="auto"/>
        </w:rPr>
      </w:pPr>
      <w:r>
        <w:rPr>
          <w:sz w:val="20"/>
          <w:szCs w:val="20"/>
          <w:color w:val="auto"/>
        </w:rPr>
        <w:br w:type="column"/>
      </w:r>
    </w:p>
    <w:p>
      <w:pPr>
        <w:ind w:right="2880" w:firstLine="7"/>
        <w:spacing w:after="0" w:line="532" w:lineRule="auto"/>
        <w:tabs>
          <w:tab w:leader="none" w:pos="445"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BOARD OF DIRECTORS Article 15 – Organization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consist of five members.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for the election of the chairman of the Board of Directors and the members of the compensation committee by the Meeting of the Shareholders, the Board of Directors constitutes. It appoints a secretary who does not need to be a member of the Board of Directors. If the office of the chairman of the Board of Directors is vacant, the Board of Directors shall appoint a chairman from among its member for the remaining term of office.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its responsibilities and powers, the Board of Directors may enact Board Regulations. Such Board Regulations may provide for qualified attendance quorums and qualified majority thresholds for important decisions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 Appointment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Board of Directors, the chairman of the Board of Directors and the members of the compensation committee are elected individually by the Meeting of Shareholders for a term of office of one year until completion of the next annual Meeting of Shareholders. Re-election is permissible.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Newly elected members take over the term of office of the members whom they replace.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 Meetings and Resolutions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Meetings of the Board of Directors shall be called by its President or, if he/she is prevented from doing so, by any other member, by means of written notification (letter or e-mail) as often as business matters require. Any member may request the President to call a meeting without delay, subject to stating the grounds for such requests.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meeting of the Board of Directors shall be called at least 10 days prior to the day of the meeting. This period may be shortened in cases of urgency.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passes its resolutions at meetings with a venue (including meetings held by telephone, video or computer conference or</w:t>
      </w:r>
    </w:p>
    <w:p>
      <w:pPr>
        <w:spacing w:after="0" w:line="200" w:lineRule="exact"/>
        <w:rPr>
          <w:sz w:val="20"/>
          <w:szCs w:val="20"/>
          <w:color w:val="auto"/>
        </w:rPr>
      </w:pPr>
    </w:p>
    <w:p>
      <w:pPr>
        <w:sectPr>
          <w:pgSz w:w="11900" w:h="16838" w:orient="portrait"/>
          <w:cols w:equalWidth="0" w:num="2">
            <w:col w:w="5420" w:space="440"/>
            <w:col w:w="5380"/>
          </w:cols>
          <w:pgMar w:left="320" w:top="765" w:right="339" w:bottom="1440" w:gutter="0" w:footer="0" w:header="0"/>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0" w:name="page101"/>
    <w:bookmarkEnd w:id="100"/>
    <w:p>
      <w:pPr>
        <w:jc w:val="both"/>
        <w:spacing w:after="0" w:line="255" w:lineRule="auto"/>
        <w:rPr>
          <w:sz w:val="20"/>
          <w:szCs w:val="20"/>
          <w:color w:val="auto"/>
        </w:rPr>
      </w:pPr>
      <w:r>
        <w:rPr>
          <w:rFonts w:ascii="Times New Roman" w:cs="Times New Roman" w:eastAsia="Times New Roman" w:hAnsi="Times New Roman"/>
          <w:sz w:val="18"/>
          <w:szCs w:val="18"/>
          <w:color w:val="auto"/>
        </w:rPr>
        <w:t>andere direkte Kommunikationsmittel) oder unter Verwendung elektronischer Mittel, in sinngemässer Anwendung der Artikel 701c–701e OR, oder auf schriftlichem Weg auf Papier oder in elektronischer Form, sofern nicht ein Mitglied die mündliche Beratung verlangt. Im Fall der Beschlussfassung auf elektronischem Weg ist keine Unterschrift erforderlich; vorbehalten bleibt eine anderslautende, schriftliche Festlegung des Verwaltungsrats.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Sitzungen (einschliesslich über Telefon-, Video- oder Computerkonferenz oder andere elektronische Mittel) kann der Verwaltungsrat gültig Beschlüsse fassen, falls die Mehrheit seiner Mitglieder anwesend ist oder mittels Telefon-, Video- oder Computerkonferenz oder anderer elektronischer Mittel teilnimmt, soweit nicht ein anderes Anwesenheitsquorum im Organisationsreglement statuiert ist. Kein Präsenzquorum ist erforderlich, wenn ausschliesslich die Durchführung einer Kapitalerhöhung, Nachliberierung oder Kapitalherabsetzung oder eines Wechsels der Währung des Aktienkapitals festzustellen und die anschliessend vorzunehmende Statutenänderung zu beschliessen ist (insbes. Art. 634b, 652g, 653g, 653u und 653o OR).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Soweit nicht ein höheres Zustimmungsquorum in einem entsprechenden Organisationsreglement festgelegt ist, fasst der Verwaltungsrat seine Beschlüsse mit dem absoluten Mehr der abgegebenen Stimmen. Bei Stimmengleichheit hat der Vorsitzende den Stichentscheid.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Über die Verhandlungen und Beschlüsse ist ein Protokoll zu führen, das vom Vorsitzenden und vom Sekretär unterzeichnet wird.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18 – Recht auf Auskunft und Einsicht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Jedes Mitglied des Venrwaltungsrates kann Auskunft über alle Angelegenheiten der Gesellschaft verlangen.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den Sitzungen sind alle Mitglieder des Verwaltungsrates sowie die mit der Geschäftsführung betrauten Personen zur Auskunft verpflichtet.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Ausserhalb der Sitzungen kann jedes Mitglied von den mit der Geschäftsführung betrauten Personen Auskunft über den Geschäftsgang und, mit Ermächtigung des präsidenten, auch</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other means of direct communication) or, by using electronic means, applying Articles 70lc–701e CO mutatis mutandis, or in writing on paper or electronically, unless a member requests that it be debated orally. If the resolution is passed electronically, no signature is required, unless the Board of Directors specify a different requirement in writing.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may pass resolutions at meetings (including meetings held by telephone, video or computer conference or other electronic means), if the majority of its members are present or participate via telephone, video or computer conference or other electronic means, unless a different quorum is stipulated in the Board Regulations. There is no need for a quorum, if only the implementation of an increase of capital, a subsequent payment of capital or a decrease of capital or a change of the currency of the share capital and the corresponding amendment of the Articles of Association is determined (in particular art. 634b, 652g, 653g, 653u and 653o CO).</w:t>
      </w: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higher majority thresholds are set forth in the Board Regulations, the Board of Directors passes its resolutions by an absolute majority of the votes cast. In the event of a tie, the chairperson of the Meeting of the Board of Directors has the casting vote.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discussions and the resolutions of the Board of Directors shall be recorded in minutes, which shall be signed by the Chairperson of the Meeting of the Board of Directors and the secretary.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 Right of Information and Inspection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member of the Board of Directors may request information about all matters relating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meetings, all members of the Board of Directors and the Executive Board are obliged to provide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Outside of the meetings, every member may ask the members of the Executive Board for information about the course of business and,</w:t>
      </w:r>
    </w:p>
    <w:p>
      <w:pPr>
        <w:spacing w:after="0" w:line="401"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über einzelne Geschäfte verlangen.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Soweit es für die Erfüllung einer Aufgabe erforderlich ist, kann jedes Mitglied dem Präsidenten beantragen, dass ihm Bücher und Akten vorgelegt werden.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Weist der Präsident ein Gesuch auf Auskunft, Anhörung oder Einsicht ab, so entscheidet der Verwaltungsrat.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Regelungen oder Beschlüsse des Verwaltungsrates, die das Recht auf Auskunft und Einsichtnahme der Verwaltungsräte erweitern, bleiben vorbehalten.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19 – Befugnisse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hat  folgende  unübertragbare  und  unentziehbare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Aufgaben:</w:t>
      </w:r>
    </w:p>
    <w:p>
      <w:pPr>
        <w:spacing w:after="0" w:line="207" w:lineRule="exact"/>
        <w:rPr>
          <w:sz w:val="20"/>
          <w:szCs w:val="20"/>
          <w:color w:val="auto"/>
        </w:rPr>
      </w:pPr>
    </w:p>
    <w:p>
      <w:pPr>
        <w:ind w:left="920" w:hanging="453"/>
        <w:spacing w:after="0" w:line="282" w:lineRule="auto"/>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Oberleitung der Gesellschaft und die Erteilung der nötigen Weisungen;</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Festlegung der Organisation;</w:t>
      </w:r>
    </w:p>
    <w:p>
      <w:pPr>
        <w:spacing w:after="0" w:line="225"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Ausgestaltung des Rechnungswesens, der Finanzkontrolle sowie die Finanzplanung, sofern dies für die Führung der Gesellschaft notwendig ist;</w:t>
      </w:r>
    </w:p>
    <w:p>
      <w:pPr>
        <w:spacing w:after="0" w:line="175" w:lineRule="exact"/>
        <w:rPr>
          <w:rFonts w:ascii="Times New Roman" w:cs="Times New Roman" w:eastAsia="Times New Roman" w:hAnsi="Times New Roman"/>
          <w:sz w:val="18"/>
          <w:szCs w:val="18"/>
          <w:color w:val="auto"/>
        </w:rPr>
      </w:pPr>
    </w:p>
    <w:p>
      <w:pPr>
        <w:ind w:left="920" w:right="20" w:hanging="453"/>
        <w:spacing w:after="0" w:line="282" w:lineRule="auto"/>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Ernennung und Abberufung der mit der Geschäftsführung und der Vertretung betrauten Personen;</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Oberaufsicht über die mit der Geschäftsführung betrauten Personen, namentlich im Hinblick auf die Befolgung der Gesetze, Statuten, Reglemente und Weisungen;</w:t>
      </w:r>
    </w:p>
    <w:p>
      <w:pPr>
        <w:spacing w:after="0" w:line="17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Erstellung des Geschäftsberichtes, des Vergütungsberichts sowie gegebenenfalls weiterer Berichte gemäss Gesetz;</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Vorbereitung der Generalversammlung und die Ausführung ihrer Beschlüsse; und</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Einreichung eines Gesuchs um Nachlassstundung und die Benachrichtigung des Gerichts im Falle der Überschuldung.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with the authorization of the President, about individual transactions.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Insofar as is necessary to carry out a duty, any member may ask the President for books of account and files to be submitted to him or her.</w:t>
      </w:r>
    </w:p>
    <w:p>
      <w:pPr>
        <w:spacing w:after="0" w:line="3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President refuses a request for information, consultation or inspection, the Board of Directors shall decide.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without prejudice to regulations or resolutions by the Board of Directors which extend the right of information and inspection on the part of members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 Powers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the following nontransferrable and inalienable duties:</w:t>
      </w:r>
    </w:p>
    <w:p>
      <w:pPr>
        <w:spacing w:after="0" w:line="162" w:lineRule="exact"/>
        <w:rPr>
          <w:sz w:val="20"/>
          <w:szCs w:val="20"/>
          <w:color w:val="auto"/>
        </w:rPr>
      </w:pPr>
    </w:p>
    <w:p>
      <w:pPr>
        <w:ind w:left="900" w:hanging="448"/>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ultimately manage the Company and issue the necessary directives;</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Company’s organization;</w:t>
      </w:r>
    </w:p>
    <w:p>
      <w:pPr>
        <w:spacing w:after="0" w:line="225"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structure the accounting system, the financial controls and, to the extent necessary for the management of the Company, the financial planning;</w:t>
      </w:r>
    </w:p>
    <w:p>
      <w:pPr>
        <w:spacing w:after="0" w:line="175"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and remove the members of the Executive and the persons entrusted with the representation of the Company;</w:t>
      </w:r>
    </w:p>
    <w:p>
      <w:pPr>
        <w:spacing w:after="0" w:line="161" w:lineRule="exact"/>
        <w:rPr>
          <w:rFonts w:ascii="Times New Roman" w:cs="Times New Roman" w:eastAsia="Times New Roman" w:hAnsi="Times New Roman"/>
          <w:sz w:val="18"/>
          <w:szCs w:val="18"/>
          <w:color w:val="auto"/>
        </w:rPr>
      </w:pPr>
    </w:p>
    <w:p>
      <w:pPr>
        <w:jc w:val="both"/>
        <w:ind w:left="900" w:right="20" w:hanging="448"/>
        <w:spacing w:after="0" w:line="289" w:lineRule="auto"/>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the ultimate supervision over the Executive Board, in particular with respect to compliance with the law and with the Articles of Association, regulations and directives;</w:t>
      </w:r>
    </w:p>
    <w:p>
      <w:pPr>
        <w:spacing w:after="0" w:line="157" w:lineRule="exact"/>
        <w:rPr>
          <w:rFonts w:ascii="Times New Roman" w:cs="Times New Roman" w:eastAsia="Times New Roman" w:hAnsi="Times New Roman"/>
          <w:sz w:val="17"/>
          <w:szCs w:val="17"/>
          <w:color w:val="auto"/>
        </w:rPr>
      </w:pPr>
    </w:p>
    <w:p>
      <w:pPr>
        <w:ind w:left="900" w:right="20" w:hanging="448"/>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annual report, the compensation report and, if necessary, other reports in accordance with the law;</w:t>
      </w:r>
    </w:p>
    <w:p>
      <w:pPr>
        <w:spacing w:after="0" w:line="16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Meeting of Shareholders and to implement its resolutions; and</w:t>
      </w:r>
    </w:p>
    <w:p>
      <w:pPr>
        <w:spacing w:after="0" w:line="16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petition for debt-restructuring moratorium and to notify the court in case of over-indebted ness.</w:t>
      </w:r>
    </w:p>
    <w:p>
      <w:pPr>
        <w:spacing w:after="0" w:line="200"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ist zudem in allen Angelegenheiten und für alle Beschlüsse zuständig, die nicht nach zwingendem Recht oder den Statuten der Generalversammlung zugewiesen sind.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 Verwaltungsrat kann die Vorbereitung und Ausführung seiner Beschlüsse oder die überwachung von Geschäften Ausschüssen oder einzelnen Mitgliedern zuweisen. Er hat für eine angemessene Berichterstattung an seine Mitglieder zu sorgen.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wahrt die lnteressen der Gesellschaft in guten Treuen.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20 – Übertragung der Geschäftsführung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kann die Geschäftsführung nach Massgabe eines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Organisationsreglements ganz oder zum Teil einzelnen Mitglieder oder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Dritten übertragen (Geschäftsleitung).</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Das Organisationsreglement ordnet die Geschäftsführung, bestimmt die hierfür erforderlichen Stellen, umschreibt deren Aufgaben und regelt insbesondere die Berichterstattung.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Soweit die Geschäftsführung nicht übertragen worden ist, steht sie allen Mitgliedern des Verwaltungsrates gesamthaft zu.</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kann die Vertretung einem oder mehreren Mitgliedern (Delegierte) oder Dritten (Direktoren) übertragen. Mindestens ein Mitglied des Verwaltungsrates muss zur Vertretung befugt sein.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2l – Schadloshattung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Soweit gesetzlich zulässig, hält die Gesellschaft aktuelle und ehemalige Mitglieder des Verwaltungsrats und der Geschäftsleitung der Gesellschaft sowie deren Erben oder Rechtsnachfolger schadlos für Kosten, Ausgaben inklusive angemessener Anwaltskosten, Urteile, Bussen, Verluste, Forderungen, Schäden oder Verbindlichkeiten im Zusammenhang mit Zivil-, Straf-, Administrativ- oder Untersuchungsverfahren, welche ihnen entstehen oder entstehen können aufgrund von (i) von tatsächlichen oder behaupteten Handlungen, Zustimmungen oder Unterlassungen im Zusammenhang mit der Ausübung ihrer Pflichten oder behaupteten</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shall also decide on all matters which are not by mandatory law or by the Articles of Association reserved for decision by the Meeting of Shareholders.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may delegate the preparation and the implementation of its resolutions or the supervision of business transactions to committees or individual members. The Board of Directors shall provide for adequate reporting to its members.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attends faithfully to the Company’s interests.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20 – Delegation of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delegate the management of the Company in whole or in part to individual members or third parties (Executive Board) in accordance with Board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Regulations govern the management of the Company, stipulate the positions required, define the duties associated with these positions and, in particular, determine the Company’s internal reporting.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management has not been delegated, it is vested jointly in the members of the Board of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may delegate the power of representation to one or several members (delegates) or third parties (executive officers). At least one member of the Board of Directors must be empowered to represent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21 – Indemnification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permissible by law, the Company indemnifies and holds harmless each present and former member of the Board of Directors and the Executive Board of the Company as well as their heirs or legal successors against any costs or expenses including reasonable attorneys’ fees, judgements, fines, losses, claims, damages or liabilities incurred in connection with any civil, criminal, administrative or investigative action, arising out of or pertaining to (i) actual or alleged actions, approvals, or omissions in connection with the performance of their duties or alleged duties, (ii) their activities and services as a member of the Board of</w:t>
      </w:r>
    </w:p>
    <w:p>
      <w:pPr>
        <w:spacing w:after="0" w:line="200"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3" w:name="page104"/>
    <w:bookmarkEnd w:id="103"/>
    <w:p>
      <w:pPr>
        <w:jc w:val="both"/>
        <w:spacing w:after="0" w:line="258" w:lineRule="auto"/>
        <w:rPr>
          <w:sz w:val="20"/>
          <w:szCs w:val="20"/>
          <w:color w:val="auto"/>
        </w:rPr>
      </w:pPr>
      <w:r>
        <w:rPr>
          <w:rFonts w:ascii="Times New Roman" w:cs="Times New Roman" w:eastAsia="Times New Roman" w:hAnsi="Times New Roman"/>
          <w:sz w:val="18"/>
          <w:szCs w:val="18"/>
          <w:color w:val="auto"/>
        </w:rPr>
        <w:t>Pflichten, (ii) ihrer Tätigkeit ats Mitgtied des Verwaltungsrats oder der Geschäftsleitung, oder (iii) ihrer Tätigkeit im Auftrag der Gesellschaft als Mitglied des Verwaltungsrats oder der Geschäftsleitung, Arbeitnehmer oder Agent von anderen Unternehmen, Tochtergesellschaften, Personengesellschaften, Trusts oder anderen Gesellschaften.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Diese Pflicht zur Schadloshaltung besteht nicht, soweit in einem endgültigen und rechtskräftigen Entscheid eines zuständigen Gerichts, Schiedsgerichts oder einer zuständigen Verwaltungsbehörde entschieden worden ist, dass eine der genannten Personen ihrer Pflichten als Mitglied des Verwaltungsrates oder der Geschäftsleitung absichtlich oder grobfahrlässig verletzt hat.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Die Gesellschaft schiesst aktuellen und ehemaligen Mitgliedern des Verwaltungsrates und der Geschäftsleitung die Gerichts- oder Anwaltskosten vor, die im Zusammenhang mit allfälligen in Absatz 1 genannten zivil-, straf- oder verwaltungsrechtlichen Verfahren oder Untersuchungen anfallen. Die Gesellschaft kann solche Kostenvorschüsse ablehnen oder zurückfordern, sofern ein zuständiges Gericht oder eine zuständige Verwaltungsbehörde rechtskräftig feststellt, dass das entsprechende Mitglied des Verwaltungsrates oder der Geschäftsleitung eine vorsätzliche oder grobfahrlässige Verletzung seiner Pflichten als Mitglied des Verwaltungsrats oder der Geschäftsleitung begangen hat.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Gesellschaft kann Haftpflichtversicherungen für die Mitglieder des Verwaltungsrates oder der Geschäftsleitung abschliessen. Die Bezahlung der Versicherungsprämien wird von der Gesellschaft oder ihren Tochtergesellschaften übernommen.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22 – Wahl und Zusammensetzung des Vergütungsaussch usses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Vergütungsausschuss besteht aus 3 (drei) Mitgliedern des Verwaltungsrates. Der Verwaltungsrat bezeichnet den Vorsitzenden des Vergütungsausschusses.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Mitglieder des Vergütungsausschusses werden von der Generalversammlung jährlich für die Dauer bis zum Abschluss der nächsten ordentlichen Generalversammlung gewählt und sind wiederwählbar. Die Wahl erfolgt für jedes Mitglied des Vergütungsausschusses einzeln. Bei Vakanzen im Vergütungsausschuss,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or the Executive Board; or (iii) their activities at the request of the Company as director, officer, employee or agent of another company, subsidiary, partnership, trust or other corporation.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indemnity shall not extend to any matter in which any of the said persons is found, in a final judgment or decree of a court, arbitral tribunal or government or administrative authority of competent jurisdiction not subject to appeal, to have committed an intentional or grossly negligent breach of said person’s duties as a member of the Board of Directors or the Executive Board.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shall advance existing and former members of the Board of Directors and the Executive Board court costs and attorney fees in connection with potential civil, criminal, administrative or investigative proceedings and investigations as described in paragraph 1. The Company may reject or recover such advanced costs if a court or governmental or administrative authority of competent jurisdiction not subject to appeal holds that the member of the Board of Directors or the Executive Board in questions has committed an intentional or grossly negligent breach of his statutory duties as a member of the Board of Directors or the Executive Board.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take out a directors’ and officers’ liability insurance for members of the Board of Directors and the Executive Board. The insurance premiums shall be charged to and paid by the Company or its subsidiaries.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Article 22 – Election and Composition of the Compensation Committee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shall consist of three (3) members of the Board of Directors. The Board of Directors shall appoint the chairman of the compensation committee.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 of the compensation committee shall be elected annually by the Meeting of Shareholders for a period until completion of the next annual Meeting of Shareholders and shall be eligible for re-election. Each member of the compensation committee shall be elected</w:t>
      </w:r>
    </w:p>
    <w:p>
      <w:pPr>
        <w:spacing w:after="0" w:line="412"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4" w:name="page105"/>
    <w:bookmarkEnd w:id="104"/>
    <w:p>
      <w:pPr>
        <w:jc w:val="both"/>
        <w:spacing w:after="0" w:line="266" w:lineRule="auto"/>
        <w:rPr>
          <w:sz w:val="20"/>
          <w:szCs w:val="20"/>
          <w:color w:val="auto"/>
        </w:rPr>
      </w:pPr>
      <w:r>
        <w:rPr>
          <w:rFonts w:ascii="Times New Roman" w:cs="Times New Roman" w:eastAsia="Times New Roman" w:hAnsi="Times New Roman"/>
          <w:sz w:val="18"/>
          <w:szCs w:val="18"/>
          <w:color w:val="auto"/>
        </w:rPr>
        <w:t>die zu einer Unterschreitung der Mindestanzahl von 3 (drei) Mitgliedern führen, ernennt der Verwaltungsrat für die verbleibende Amtsdauer die fehlenden Mitglieder aus seiner Mitte.</w:t>
      </w:r>
    </w:p>
    <w:p>
      <w:pPr>
        <w:spacing w:after="0" w:line="3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kann im Organisationsreglement oder in einem separaten Reglement Näheres zur Organisation und Beschlussfassung des Vergütungsausschusses festlegen.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23 – Aufgaben des Vergütungsausschusses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 Vergütungsausschuss unterstützt den Verwaltungsrat bei der Festsetzung und Überprüfung der Vergütungsprinzipien und -richtlinien, bei der Erstellung des Vergütungsberichts sowie bei der Vorbereitung der Anträge zuhanden der Generalversammlung über die Vergütung des Verwaltungsrates und der Geschäftsleitung. Er kann dem Verwaltungsrat Anträge und Empfehlungen zu weiteren Vergütungsfragen unterbreiten.</w:t>
      </w: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 Verwaltungsrat kann dem Vergütungsausschuss weitere Aufgaben und Befugnisse zuweisen.</w:t>
      </w:r>
    </w:p>
    <w:p>
      <w:pPr>
        <w:spacing w:after="0" w:line="158" w:lineRule="exact"/>
        <w:rPr>
          <w:sz w:val="20"/>
          <w:szCs w:val="20"/>
          <w:color w:val="auto"/>
        </w:rPr>
      </w:pPr>
    </w:p>
    <w:p>
      <w:pPr>
        <w:jc w:val="center"/>
        <w:ind w:right="2840" w:firstLine="8"/>
        <w:spacing w:after="0" w:line="532" w:lineRule="auto"/>
        <w:tabs>
          <w:tab w:leader="none" w:pos="459"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REVISIONSSTELLE Artikel 24 – Wahl und Befugnisse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Generalversammlung wählt jährlich ein staatlich beaufsichtigtes Revisionsunternehmen im Sinne des Revisionsaufsichtsgesetzes als Revisionsstelle für eine Amtsdauer bis zum Abschluss der nächsten ordentlichen Generalversammlung. Wiederwahl ist möglich.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Die Revisionsstelle hat die ihr gesetzlich zugewiesenen Pflichten und Befugnisse.</w:t>
      </w:r>
    </w:p>
    <w:p>
      <w:pPr>
        <w:spacing w:after="0" w:line="158" w:lineRule="exact"/>
        <w:rPr>
          <w:sz w:val="20"/>
          <w:szCs w:val="20"/>
          <w:color w:val="auto"/>
        </w:rPr>
      </w:pPr>
    </w:p>
    <w:p>
      <w:pPr>
        <w:jc w:val="both"/>
        <w:ind w:left="460" w:hanging="459"/>
        <w:spacing w:after="0" w:line="286"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VERGÜTUNG DES VERWALTUNGSRATS UND DER GESCHÄFTSLEITUNG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Artikel 25 – Allgemeine Grundsätze zu Abstimmung über Vergütungen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Generalversammlung stimmt jährlich gesondert über die vom Verwaltungsrat unterbreiteten maximalen Gesamtbeträge der Vergütung der Mitglieder des Verwaltungsrats, der Geschäftsleitung und des Beirats für die folgende Amtsperiode beziehungsweise das folgende Geschäftsjahr ab.</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individually. If there are vacancies on the compensation committee and the number of members falls below the minimum of three (3), the Board of Directors shall appoint the missing member from among its members for the remaining term of office.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determine further details on the organization and decision-making of the compensation committee in the organizational rules or in separate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23 – Duties of the Compensation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shall support the Board of Directors establishing and reviewing the Company’s compensation principles and guidelines, in preparing the compensation report and in preparing the proposals to the Meeting of Shareholders regarding compensation of the members of the Board of Directors and Executive Board. The compensation committee may submit proposals to the Board of Directors in other compensation related issues.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may delegate further tasks and powers to the compensation committee.</w:t>
      </w:r>
    </w:p>
    <w:p>
      <w:pPr>
        <w:spacing w:after="0" w:line="158" w:lineRule="exact"/>
        <w:rPr>
          <w:sz w:val="20"/>
          <w:szCs w:val="20"/>
          <w:color w:val="auto"/>
        </w:rPr>
      </w:pPr>
    </w:p>
    <w:p>
      <w:pPr>
        <w:ind w:left="460" w:hanging="453"/>
        <w:spacing w:after="0"/>
        <w:tabs>
          <w:tab w:leader="none" w:pos="4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24 – Election and Powers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Meeting of Shareholders annually elects a state-supervised auditing company within the meaning of the Audit Supervision Act as statutory auditors for a term of office of one year until completion of the next annual Meeting of Shareholders. Re-election is possible.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statutory auditors have the powers and duties assigned to them by law.</w:t>
      </w:r>
    </w:p>
    <w:p>
      <w:pPr>
        <w:spacing w:after="0" w:line="158" w:lineRule="exact"/>
        <w:rPr>
          <w:sz w:val="20"/>
          <w:szCs w:val="20"/>
          <w:color w:val="auto"/>
        </w:rPr>
      </w:pPr>
    </w:p>
    <w:p>
      <w:pPr>
        <w:jc w:val="both"/>
        <w:ind w:left="460" w:hanging="459"/>
        <w:spacing w:after="0" w:line="286"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COMPENSATION OF THE BOARD OF DIRECTORS AND THE EXECUTIVE BOARD</w:t>
      </w:r>
    </w:p>
    <w:p>
      <w:pPr>
        <w:spacing w:after="0" w:line="15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Article 25 – General Principles of Resolutions on Compensations</w:t>
      </w: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an annual basis, the Meeting of Shareholders shall resolve separately the maximum aggregate amount of compensation for the members of the Board of Directors, the Executive Board and the advisory board for the following term of office or the financial year, respectively,</w:t>
      </w:r>
    </w:p>
    <w:p>
      <w:pPr>
        <w:spacing w:after="0" w:line="412"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5" w:name="page106"/>
    <w:bookmarkEnd w:id="105"/>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Abstimmung der Generalversammlung hat bindende Wirkung.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Lehnt die Generalversammlung einen Antrag des Verwaltungsrates ab, setzt der Verwaltungsrat den entsprechenden (maximalen) Gesamtbetrag oder (maximale) Teilbeträge unter Berücksichtigung aller relevanten Faktoren neu fest und unterbreitet den oder die so festgesetzten Beträge derselben Generalversammlung, einer nachfolgenden ausserordentlichen Generalversammlung oder der nächsten ordentlichen Generalversammlung zur Abstimmung vor.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Wird prospektiv über variable Vergütungen abgestimmt, so muss der Generalversammlung der Vergütungsbericht zur Konsultativabstimmung vorgelegt werden.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Gesellschaft  oder  von  ihr  kontrollierte  Gesellschaften  können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Vergütungen vor der Genehmigung durch die Generalversammlung unter</w:t>
      </w:r>
    </w:p>
    <w:p>
      <w:pPr>
        <w:spacing w:after="0" w:line="9" w:lineRule="exact"/>
        <w:rPr>
          <w:sz w:val="20"/>
          <w:szCs w:val="20"/>
          <w:color w:val="auto"/>
        </w:rPr>
      </w:pPr>
    </w:p>
    <w:p>
      <w:pPr>
        <w:spacing w:after="0"/>
        <w:tabs>
          <w:tab w:leader="none" w:pos="1040" w:val="left"/>
          <w:tab w:leader="none" w:pos="1620" w:val="left"/>
          <w:tab w:leader="none" w:pos="3040" w:val="left"/>
          <w:tab w:leader="none" w:pos="4420" w:val="left"/>
          <w:tab w:leader="none" w:pos="5180" w:val="left"/>
        </w:tabs>
        <w:rPr>
          <w:sz w:val="20"/>
          <w:szCs w:val="20"/>
          <w:color w:val="auto"/>
        </w:rPr>
      </w:pPr>
      <w:r>
        <w:rPr>
          <w:rFonts w:ascii="Times New Roman" w:cs="Times New Roman" w:eastAsia="Times New Roman" w:hAnsi="Times New Roman"/>
          <w:sz w:val="18"/>
          <w:szCs w:val="18"/>
          <w:color w:val="auto"/>
        </w:rPr>
        <w:t>Vorbehalt</w:t>
      </w:r>
      <w:r>
        <w:rPr>
          <w:sz w:val="20"/>
          <w:szCs w:val="20"/>
          <w:color w:val="auto"/>
        </w:rPr>
        <w:tab/>
      </w:r>
      <w:r>
        <w:rPr>
          <w:rFonts w:ascii="Times New Roman" w:cs="Times New Roman" w:eastAsia="Times New Roman" w:hAnsi="Times New Roman"/>
          <w:sz w:val="18"/>
          <w:szCs w:val="18"/>
          <w:color w:val="auto"/>
        </w:rPr>
        <w:t>der</w:t>
      </w:r>
      <w:r>
        <w:rPr>
          <w:sz w:val="20"/>
          <w:szCs w:val="20"/>
          <w:color w:val="auto"/>
        </w:rPr>
        <w:tab/>
      </w:r>
      <w:r>
        <w:rPr>
          <w:rFonts w:ascii="Times New Roman" w:cs="Times New Roman" w:eastAsia="Times New Roman" w:hAnsi="Times New Roman"/>
          <w:sz w:val="18"/>
          <w:szCs w:val="18"/>
          <w:color w:val="auto"/>
        </w:rPr>
        <w:t>nachträglichen</w:t>
      </w:r>
      <w:r>
        <w:rPr>
          <w:sz w:val="20"/>
          <w:szCs w:val="20"/>
          <w:color w:val="auto"/>
        </w:rPr>
        <w:tab/>
      </w:r>
      <w:r>
        <w:rPr>
          <w:rFonts w:ascii="Times New Roman" w:cs="Times New Roman" w:eastAsia="Times New Roman" w:hAnsi="Times New Roman"/>
          <w:sz w:val="18"/>
          <w:szCs w:val="18"/>
          <w:color w:val="auto"/>
        </w:rPr>
        <w:t>Genehmigung</w:t>
      </w:r>
      <w:r>
        <w:rPr>
          <w:sz w:val="20"/>
          <w:szCs w:val="20"/>
          <w:color w:val="auto"/>
        </w:rPr>
        <w:tab/>
      </w:r>
      <w:r>
        <w:rPr>
          <w:rFonts w:ascii="Times New Roman" w:cs="Times New Roman" w:eastAsia="Times New Roman" w:hAnsi="Times New Roman"/>
          <w:sz w:val="18"/>
          <w:szCs w:val="18"/>
          <w:color w:val="auto"/>
        </w:rPr>
        <w:t>durch</w:t>
      </w:r>
      <w:r>
        <w:rPr>
          <w:sz w:val="20"/>
          <w:szCs w:val="20"/>
          <w:color w:val="auto"/>
        </w:rPr>
        <w:tab/>
      </w:r>
      <w:r>
        <w:rPr>
          <w:rFonts w:ascii="Times New Roman" w:cs="Times New Roman" w:eastAsia="Times New Roman" w:hAnsi="Times New Roman"/>
          <w:sz w:val="18"/>
          <w:szCs w:val="18"/>
          <w:color w:val="auto"/>
        </w:rPr>
        <w:t>die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Generalversammlung ausrichten.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26 – Vergütungen für Mitglieder der Geschäftsleitung</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Gesellschaft oder von ihr kontrolliere Gesellschaften sind ermächtigt, jedem Mitglied, das während einer von der Generalversammlung bereits genehmigten Vergütungsperiode in die Geschäftsleitung eintritt, während der Dauer der bereits genehmigten Vergütungsperiode(n) einen Zusatzbetrag auszurichten.</w:t>
      </w:r>
    </w:p>
    <w:p>
      <w:pPr>
        <w:spacing w:after="0" w:line="3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Zusatzbetrag darf 50% der zuletzt von der Generalversammlung genehmigten Gesamtbeträge der fixen und variablen Vergütungen der Geschäftsleitung je Vergütungsperiode nicht übersteigen.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 Zusatzbetrag darf nur verwendet werden, wenn der von der Generalversammlung beschlossene Gesamtbetrag der Vergütungen der Geschäftsleitung bis zur nächsten Abstimmung der Generalversammlung nicht für die Vergütungen der neuen Mitglieder ausreicht.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Die Generalversammlung stimmt nicht über den verwendeten Zusatzbetrag 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based on the proposal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of the Meeting of Shareholders is binding.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the Meeting of Shareholders does not approve a proposal of the Board of Directors, the Board of Directors shall reevaluate, taking into account all relevant factors, the respective (maximum) aggregate amount or partial (maximum) amounts, and submit the amount(s) so determined for approval by the same Meeting of Shareholders, a subsequent extraordinary Meeting of Shareholder or the next annual Meeting of Shareholders.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variable compensation is voted on prospectively, the compensation report must be submitted to the Meeting of Shareholders for an advisory vote.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or any company controlled by it may pay any compensation prior to approval by the Meeting of Shareholders subject to subsequent approval by the Meeting of Shareholders.</w:t>
      </w:r>
    </w:p>
    <w:p>
      <w:pPr>
        <w:spacing w:after="0" w:line="3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Article 26 – Compensation for members of the Executive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or any company controlled by it shall be authorized to pay to any member of the Executive Board who becomes a member during a compensation period for which the Meeting of Shareholders has already approved the compensation of members of the Executive Board a supplementary amount during the compensation period(s) already approved.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supplementary amount shall not exceed 50% of the aggregate amounts of fixed and variable compensation of the Executive Board last approved by the Meeting of Shareholders per compensation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additional amount may only be used if the total amount of remuneration for the Executive Board agreed by the Meeting of Shareholders is not sufficient to remunerate the new members until the next vote of the Meeting of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of Shareholders does not vote on the additional amount used.</w:t>
      </w:r>
    </w:p>
    <w:p>
      <w:pPr>
        <w:spacing w:after="0" w:line="479"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Artikel 27 – Allgemeine Vergütungsgrundsätze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Vergütung der Mitglieder des Verwaltungsrates umfasst grundsätzlich zusätzlich zu der fixen Grundentschädigung keine variable Vergütung. Zusätzlich zu einer fixen Vergütung kann den Mitgliedern der Geschäftsleitung eine variable Vergütung, die sich nach der Erreichung bestimmter Leistungsziele richtet, ausgerichtet werden.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Die Leistungsziele können persönliche Ziele, Ziele der Gesellschaft oder bereichsspezifische Ziele und im Vergleich zum Markt, anderen Unternehmen oder vergleichbaren Richtgrössen berechnete Ziele umfassen, unter Berücksichtigung von Funktion und Verantwortungsstufe des Empfängers der variablen Vergütung. Der Verwaltungsrat oder, soweit an ihn delegiert, der Vergütungsausschuss legen die Gewichtung der Leistungsziele und die jeweiligen Zielwerte fest.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Die Vergütung von Mitgliedern des Verwaltungsrates erfolgt grundsätzlich in Geld und/oder Aktien. Die Vergütung von Mitgliedern der Geschäftsleitung kann in Form von Geld, Aktien, Finanzinstrumenten oder Sach- oder Dienstleistung ausgerichtet werden. Der Verwaltungsrat oder, soweit an ihn delegiert, der Vergütungsausschuss legen Zuteilungs-, Ausübungs-, und Verfallsbedingungen sowie Wartefristen fest. Sie können vorsehen, dass aufgrund des Eintritts im Voraus bestimmter Ereignisse wie einem Kontrollwechsel oder der Beendigung eines Arbeits- oder Mandatsverhältnisses Wartefristen oder Ausübungsbedingungen weitergelten, verkürzt oder aufgehoben werden, Vergütungen unter Annahme der Erreichung der Zielwerte ausgerichtet werden oder Vergütungen verfallen.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 Verwaltungsrat oder der Vergütungsausschuss kann im Rahmen eines Aktienbeteiligungsprogramms sowie eines hierzu von ihm erlassenen Reglements über die Zuteilung von Optionsrechten oder andere aktienbasierte Vergütungen an Mitglieder des Verwaltungsrates und der Geschäftsleitung grundsätzlich nach freiem Ermessen entscheiden.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Zuteilungen erfolgen individuell und ohne irgendwelche Ansprüche 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Empfänger auf wiederkehrende Leistung zu begründen. Sie haben 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Rahmen folgender Vorgaben zu erfolgen: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27 – General Compensation principles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of members of the Board of Directors shall not consist of any variable compensation, in addition to the fixed compensation. In addition to a fixed compensation, members of the Executive Board may be paid a variable compensation, depending on the achievement of certain performance criteria.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performance criteria may include individual targets, targets of the Company or parts thereof and targets in relation to the market, other companies or comparable benchmarks, taking into account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of members of the Board of Directors shall generally be paid or granted in the form of cash and/or shares. The compensation of members of the Executive Board may be paid or granted in the form of cash, shares, financial instruments, in kind, or in the form of other types of benefits. The Board of Directors or, where delegated to it, the compensation committee shall determine grant, vesting, exercise and forfeiture conditions; they may provide for continuation, acceleration, or removal of vesting and exercise conditions, for payment or grant of compensation assuming target achievement or for forfeiture in the event of predetermined events such as a change of control or termination of an employment or mandate agreement.</w:t>
      </w: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or the compensation committee may, based on a stock participation plan and based on the regulations issued by it, for this purpose determine at its own discretion to grant option rights or other share based compensations to members of the Board of Directors or the Executive Board.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Grants are made individually and do not constitute any claim whatsoever by beneficiaries for recurring awards. They shall be made pursuant to the following principles:</w:t>
      </w:r>
    </w:p>
    <w:p>
      <w:pPr>
        <w:spacing w:after="0" w:line="200" w:lineRule="exact"/>
        <w:rPr>
          <w:sz w:val="20"/>
          <w:szCs w:val="20"/>
          <w:color w:val="auto"/>
        </w:rPr>
      </w:pPr>
    </w:p>
    <w:p>
      <w:pPr>
        <w:sectPr>
          <w:pgSz w:w="11900" w:h="16838" w:orient="portrait"/>
          <w:cols w:equalWidth="0" w:num="2">
            <w:col w:w="5420" w:space="440"/>
            <w:col w:w="5380"/>
          </w:cols>
          <w:pgMar w:left="320" w:top="765" w:right="339" w:bottom="1440"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7" w:name="page108"/>
    <w:bookmarkEnd w:id="107"/>
    <w:p>
      <w:pPr>
        <w:jc w:val="both"/>
        <w:ind w:left="920" w:hanging="453"/>
        <w:spacing w:after="0" w:line="261" w:lineRule="auto"/>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Zuteilungen sind ausschliesslich möglich an Mitglieder des Verwaltungsrates, welche noch im Amt sind, oder an Mitglieder der Geschäftsleitung in ungekündigtem Arbeitsverhältnis und nach Ablauf der Probezeit;</w:t>
      </w:r>
    </w:p>
    <w:p>
      <w:pPr>
        <w:spacing w:after="0" w:line="179"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Ausgabepreis oder die Regeln zu seiner Bestimmung werden festgelegt, wobei Zuteilungen auch gratis erfolgen können;</w:t>
      </w:r>
    </w:p>
    <w:p>
      <w:pPr>
        <w:spacing w:after="0" w:line="17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Ausübungspreis entspricht mindestens dem Nennwert der zugrundeliegenden Aktien;</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nach Ablauf der Wartefrist können Optionsrechte bis längstens 10 Jahre ab Zuteilung ausgeübt werden; nicht ausgeübte Optionsrechte verfallen ersatzlos.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 Verwaltungsrat oder der Vergütungsausschuss bestimmt die Bedingungen und Voraussetzungen, einschliesslich einer allfälligen Beschleunigung, Verkürzung oder Aufhebung der Sperrfrist im Fall bestimmter Ereignisse wie einem Kontrollwechsel sowie allfällige Rückforderungsmechanismen.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Die Vergütung kann durch die Gesellschaft oder durch die von ihr kontrollierten Gesellschaften ausgerichtet werden.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28 – Verträge über die Vergütungen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Gesellschaft oder von ihr kontrollierte Gesellschaften können mit Mitgliedern des Verwaltungsrates unbefristete oder befristete Verträge über deren Vergütung abschliessen. Die Dauer der Verträge darf die Amtszeit nicht überschreiten Das Gleiche gilt für den Beirat.</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Gesellschaft oder von ihr kontrollierte Gesellschaften können mit Mitgliedern der Geschäftsleitung unbefristete oder befristete Arbeitsverträge abschliessen. Befristete Arbeitsverträge haben eine Höchstdauer von einem Jahr. Eine Erneuerung ist zulässig. Unbefristete Arbeitsverträge haben eine Kündigungsfrist von maximal 12 Monaten.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Mitglieder der Geschäftsleitung, die einer Kün-</w:t>
      </w:r>
    </w:p>
    <w:p>
      <w:pPr>
        <w:spacing w:after="0" w:line="20" w:lineRule="exact"/>
        <w:rPr>
          <w:sz w:val="20"/>
          <w:szCs w:val="20"/>
          <w:color w:val="auto"/>
        </w:rPr>
      </w:pPr>
      <w:r>
        <w:rPr>
          <w:sz w:val="20"/>
          <w:szCs w:val="20"/>
          <w:color w:val="auto"/>
        </w:rPr>
        <w:br w:type="column"/>
      </w:r>
    </w:p>
    <w:p>
      <w:pPr>
        <w:jc w:val="both"/>
        <w:ind w:left="900" w:hanging="448"/>
        <w:spacing w:after="0" w:line="261"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are awarded only to members of the Board of Directors whose term has not expired or to members of the Executive Board in a non-terminated employment agreement and after conclusion of the probation period;</w:t>
      </w:r>
    </w:p>
    <w:p>
      <w:pPr>
        <w:spacing w:after="0" w:line="179"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the principles for the determination of the issue price shall be set out, whereby grants may be made free of charge;</w:t>
      </w:r>
    </w:p>
    <w:p>
      <w:pPr>
        <w:spacing w:after="0" w:line="175"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shall at least be equal to the nominal value of underlying shares;</w:t>
      </w:r>
    </w:p>
    <w:p>
      <w:pPr>
        <w:spacing w:after="0" w:line="161"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option rights shall be exercised within a maximum of 10 years after the grant date; unexercised option rights shall lapse without compensation.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or the compensation committee shall determine more detailed term and requirements, including any acceleration, curtailing or waiving of the vesting period in specific circumstances such as change of control, as well as any claw-back provisions.</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may be paid by the Company or companies controlled by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28 – Agreements regarding Compensations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or companies controlled by it may enter into agreements for a fixed term or for an indefinite term with the members of the Board of Directors relating to their compensation. The duration of the contracts may not exceed the term of office. The same applies to members of the advisory board.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or companies controlled by it may enter into employment agreements with members of the Executive Board for a fixed term or for an indefinite term. Employment agreements for a fixed term may have a maximum duration of 1 year. Renewal is possible. Employment agreements for an indefinite term may have a termination notice period of not more than 12 months.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Members of Executive Board who are subject to a termination notice may be released from</w:t>
      </w:r>
    </w:p>
    <w:p>
      <w:pPr>
        <w:spacing w:after="0" w:line="200"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8" w:name="page109"/>
    <w:bookmarkEnd w:id="108"/>
    <w:p>
      <w:pPr>
        <w:jc w:val="both"/>
        <w:spacing w:after="0" w:line="266" w:lineRule="auto"/>
        <w:rPr>
          <w:sz w:val="20"/>
          <w:szCs w:val="20"/>
          <w:color w:val="auto"/>
        </w:rPr>
      </w:pPr>
      <w:r>
        <w:rPr>
          <w:rFonts w:ascii="Times New Roman" w:cs="Times New Roman" w:eastAsia="Times New Roman" w:hAnsi="Times New Roman"/>
          <w:sz w:val="18"/>
          <w:szCs w:val="18"/>
          <w:color w:val="auto"/>
        </w:rPr>
        <w:t>digungsfrist unterliegen, können von ihrer Arbeitspflicht befreit werden. Die Gesellschaft oder von ihr kontrollierte Gesellschaften können Aufhebungsvereinbarungen abschliessen.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Die Gesellschaft oder von ihr kontrollierte Gesellschaften können Konkurrenzverbote für die Zeit nach Beendigung eines Arbeitsvertrags für eine Dauer von bis zu einem Jahr vereinbaren. Ein solches Konkurrenzverbot wird grundsätzlich nicht abgegolten. Im Abgeltungsfall darf die Entschädigung den Durchschnitt der Vergütungen der letzten drei Geschäftsjahre nicht übersteigen.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29 – Darlehen und Kredite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Mitgliedern des Verwaltungsrates oder der Geschäftsleitung dürfen keine Darlehen, Kredite oder Sicherheiten gewährt werden.</w:t>
      </w:r>
    </w:p>
    <w:p>
      <w:pPr>
        <w:spacing w:after="0" w:line="158" w:lineRule="exact"/>
        <w:rPr>
          <w:sz w:val="20"/>
          <w:szCs w:val="20"/>
          <w:color w:val="auto"/>
        </w:rPr>
      </w:pPr>
    </w:p>
    <w:p>
      <w:pPr>
        <w:ind w:right="860" w:firstLine="8"/>
        <w:spacing w:after="0" w:line="532" w:lineRule="auto"/>
        <w:tabs>
          <w:tab w:leader="none" w:pos="459"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MANDATE AUSSERHALB DER GESELLSCHAFT Artikel 30 – Mandate ausserhalb der Gesellschaft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Mitglieder des Verwaltungsrates dürfen nicht mehr als fünf zusätzliche Mandate in börsenkotierten Gesellschaften und fünf zusätzliche Mandate in nicht-börsenkotierten Gesellschaften wahrnehmen. Das gleiche gilt für den Beirat.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Mitglieder der Geschäftsleitung dürfen nicht mehr als drei zusätzliche Mandate in börsenkotierten Gesellschaften und fünf zusätzliche Mandate in nicht-börsenkotierten Gesellschaften wahrnehmen.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Nicht unter diese Beschränkungen fallen Mandate:</w:t>
      </w:r>
    </w:p>
    <w:p>
      <w:pPr>
        <w:spacing w:after="0" w:line="225" w:lineRule="exact"/>
        <w:rPr>
          <w:sz w:val="20"/>
          <w:szCs w:val="20"/>
          <w:color w:val="auto"/>
        </w:rPr>
      </w:pPr>
    </w:p>
    <w:p>
      <w:pPr>
        <w:ind w:left="920" w:hanging="453"/>
        <w:spacing w:after="0" w:line="282" w:lineRule="auto"/>
        <w:tabs>
          <w:tab w:leader="none" w:pos="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Gesellschaften, welche zur selben Gruppe wie die Gesellschaft gehören;</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1" w:lineRule="auto"/>
        <w:tabs>
          <w:tab w:leader="none" w:pos="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Vereinen, gemeinnützigen Organisationen, Stiftungen, Trusts sowie Personalfürsorgestiftungen; kein Mitglied des Verwaltungsrates oder der Geschäftsleitung darf mehr als fünf solche Mandate wahrnehmen.</w:t>
      </w:r>
    </w:p>
    <w:p>
      <w:pPr>
        <w:spacing w:after="0" w:line="1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RECHNUNGSABSCHLUSS UND GEWINNVERTEILUNG</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their obligation of work. The Company or companies controlled by it may enter into termination agreements.</w:t>
      </w:r>
    </w:p>
    <w:p>
      <w:pPr>
        <w:spacing w:after="0" w:line="3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or companies controlled by it may enter into non-compete agreements for the time after termination of the employment agreement for a duration of up to one year. Such non-compete agreement shall not be compensated in principle. In the event of a settlement, the compensation may not exceed the average of the compensation paid in the last three financial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29 – Loans and Credits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Members of the Board of Directors or of the Executive Board may not be granted any loans, credits or securities.</w:t>
      </w:r>
    </w:p>
    <w:p>
      <w:pPr>
        <w:spacing w:after="0" w:line="158" w:lineRule="exact"/>
        <w:rPr>
          <w:sz w:val="20"/>
          <w:szCs w:val="20"/>
          <w:color w:val="auto"/>
        </w:rPr>
      </w:pPr>
    </w:p>
    <w:p>
      <w:pPr>
        <w:ind w:right="1660" w:firstLine="7"/>
        <w:spacing w:after="0" w:line="532" w:lineRule="auto"/>
        <w:tabs>
          <w:tab w:leader="none" w:pos="445"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MANDATES OUTSIDE THE COMPANY Article 30 – Mandates outside the Company</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of the Board of Directors may not hold more than five additional mandates in listed companies and five additional mandates in non-listed companies. The same applies to the members of the advisory board.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the Executive Board may not hold more than three additional mandates in listed companies and five additional mandates in non-listed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mandates are not subject to these limitations:</w:t>
      </w:r>
    </w:p>
    <w:p>
      <w:pPr>
        <w:spacing w:after="0" w:line="225" w:lineRule="exact"/>
        <w:rPr>
          <w:sz w:val="20"/>
          <w:szCs w:val="20"/>
          <w:color w:val="auto"/>
        </w:rPr>
      </w:pPr>
    </w:p>
    <w:p>
      <w:pPr>
        <w:ind w:left="900" w:hanging="448"/>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companies belonging to the same group as the Company;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900" w:hanging="448"/>
        <w:spacing w:after="0" w:line="261"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associations, charitable organizations, foundations, trusts, and employee welfare foundations; no member of the Board of Directors or the Executive Board may have more than five such mandates.</w:t>
      </w:r>
    </w:p>
    <w:p>
      <w:pPr>
        <w:spacing w:after="0" w:line="176" w:lineRule="exact"/>
        <w:rPr>
          <w:sz w:val="20"/>
          <w:szCs w:val="20"/>
          <w:color w:val="auto"/>
        </w:rPr>
      </w:pPr>
    </w:p>
    <w:p>
      <w:pPr>
        <w:ind w:left="460" w:hanging="459"/>
        <w:spacing w:after="0" w:line="286"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CLOSING OF ACCOUNTS AND DISTRIBUTION OF PROFIT</w:t>
      </w:r>
    </w:p>
    <w:p>
      <w:pPr>
        <w:spacing w:after="0" w:line="200" w:lineRule="exact"/>
        <w:rPr>
          <w:sz w:val="20"/>
          <w:szCs w:val="20"/>
          <w:color w:val="auto"/>
        </w:rPr>
      </w:pPr>
    </w:p>
    <w:p>
      <w:pPr>
        <w:sectPr>
          <w:pgSz w:w="11900" w:h="16838" w:orient="portrait"/>
          <w:cols w:equalWidth="0" w:num="2">
            <w:col w:w="5420" w:space="440"/>
            <w:col w:w="5380"/>
          </w:cols>
          <w:pgMar w:left="320" w:top="769" w:right="339" w:bottom="1440" w:gutter="0" w:footer="0" w:header="0"/>
        </w:sectPr>
      </w:pP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Artikel 31 – Geschäftsjahr und Rechnungslegung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legt das Geschäftsjahr fest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Die Rechnungslegung erfolgt nach Massgabe der anwendbaren gesetzlichen Vorschriften und Rechnungslegungsstandards.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32 – Gewinnverwendung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Über die Verwendung des Bilanzgewinns beschliesst die Generalversammlung im Rahmen der gesetzlichen Bestimmungen (insbesondere Art. 671 ff. OR) nach freiem Ermessen.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33 – Auflösung und Liquidation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Wird die Gesellschaft aufgelöst, so führt der Verwaltungsrat die Liquidation durch, sofern die Generalversammlung nicht etwas anderes beschliesst.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BENACHRICHTIGUNG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34 – Mitteilungen und Bekanntmachungen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Mitteilungen der Gesellschaft an die Aktionäre erfolgen per Brief oder E-Mail an die im Aktienbuch aufgeführten Adressen oder mittels publikation im Schweizerischen Handelsamtsblatt (SHAB).</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Publikationsorgan der Gesellschaft ist das Schweizerische Handelsamtsblatt (SHAB).</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Ausschliesslich die deutsche Fassung dieser Statuten ist rechtsverbindlich. Die englische Übersetzung dieser Statuten hat keinerlei Rechtswirkungen und kann nicht zur Auslegung des deutschen Textes herangezogen werden.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31 – Business Year and Financial Accounting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determine the business year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accounting shall be in accordance with applicable statutory law and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32 – Allocation of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Meeting of Shareholders resolves on the allocation of the balance sheet profit at its sole discretion in accordance with statutory law (in particular art. 671 et seq. 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33 – Dissolution and Liquidation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is dissolved, the Board of Directors carries out the liquidation, unless determined otherwise by the Meeting of Shareholders.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NOTIFICATION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34 – Communications and Notifications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Notifications by the Company to shareholders shall be made by letter or e-mail to the addresses entered in the share register or via publication in the Swiss Official Gazette of Commerce (SHAB).</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Formal publications of the Company shall be made in the Swiss Official Gazette of Commerce (SHAB).</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Solely the German version of these Articles of Association shall be legally binding. The English translation shall have no legal effects and may not be used for the interpretation of the German wording.</w:t>
      </w:r>
    </w:p>
    <w:p>
      <w:pPr>
        <w:spacing w:after="0" w:line="200" w:lineRule="exact"/>
        <w:rPr>
          <w:sz w:val="20"/>
          <w:szCs w:val="20"/>
          <w:color w:val="auto"/>
        </w:rPr>
      </w:pPr>
    </w:p>
    <w:p>
      <w:pPr>
        <w:sectPr>
          <w:pgSz w:w="11900" w:h="16838" w:orient="portrait"/>
          <w:cols w:equalWidth="0" w:num="2">
            <w:col w:w="5420" w:space="440"/>
            <w:col w:w="5380"/>
          </w:cols>
          <w:pgMar w:left="320" w:top="765" w:right="339" w:bottom="1440" w:gutter="0" w:footer="0" w:header="0"/>
        </w:sectPr>
      </w:pPr>
    </w:p>
    <w:p>
      <w:pPr>
        <w:spacing w:after="0" w:line="192" w:lineRule="exact"/>
        <w:rPr>
          <w:sz w:val="20"/>
          <w:szCs w:val="20"/>
          <w:color w:val="auto"/>
        </w:rPr>
      </w:pPr>
    </w:p>
    <w:p>
      <w:pPr>
        <w:jc w:val="right"/>
        <w:ind w:right="2300"/>
        <w:spacing w:after="0"/>
        <w:tabs>
          <w:tab w:leader="none" w:pos="740" w:val="left"/>
        </w:tabs>
        <w:rPr>
          <w:sz w:val="20"/>
          <w:szCs w:val="20"/>
          <w:color w:val="auto"/>
        </w:rPr>
      </w:pPr>
      <w:r>
        <w:rPr>
          <w:rFonts w:ascii="Times New Roman" w:cs="Times New Roman" w:eastAsia="Times New Roman" w:hAnsi="Times New Roman"/>
          <w:sz w:val="18"/>
          <w:szCs w:val="18"/>
          <w:color w:val="auto"/>
        </w:rPr>
        <w:t>* * * * * *</w:t>
      </w:r>
      <w:r>
        <w:rPr>
          <w:sz w:val="20"/>
          <w:szCs w:val="20"/>
          <w:color w:val="auto"/>
        </w:rPr>
        <w:tab/>
      </w:r>
      <w:r>
        <w:rPr>
          <w:rFonts w:ascii="Times New Roman" w:cs="Times New Roman" w:eastAsia="Times New Roman" w:hAnsi="Times New Roman"/>
          <w:sz w:val="17"/>
          <w:szCs w:val="17"/>
          <w:color w:val="auto"/>
        </w:rPr>
        <w:t>* * * * * *</w:t>
      </w:r>
    </w:p>
    <w:p>
      <w:pPr>
        <w:spacing w:after="0" w:line="225"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Zürich, 8. Juni 2026</w:t>
      </w:r>
      <w:r>
        <w:rPr>
          <w:sz w:val="20"/>
          <w:szCs w:val="20"/>
          <w:color w:val="auto"/>
        </w:rPr>
        <w:tab/>
      </w:r>
      <w:r>
        <w:rPr>
          <w:rFonts w:ascii="Times New Roman" w:cs="Times New Roman" w:eastAsia="Times New Roman" w:hAnsi="Times New Roman"/>
          <w:sz w:val="18"/>
          <w:szCs w:val="18"/>
          <w:color w:val="auto"/>
        </w:rPr>
        <w:t>Zurich,8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85800" cy="6172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6858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Oliver Baumann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37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Capital Stock 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terms of the securities of Veraxa Biotech AG (previously named Veraxa Biotech Holding AG prior to the consummation of the Business Combination, “PubCo” or the “Company”) registered pursuant to Section 12 of the Securities Exchange Act of 1934, as amended (the “Exchange Act”). This summary does not purport to be complete and is subject to, and qualified in its entirety by reference to, the Company’s Articles of Association (filed as Exhibit 1.1 to this Shell Company Report on Form 20-F), the Warrant Agreement, dated August 8, 2024, by and between Voyager Acquisition Corp. and Continental Stock Transfer &amp; Trust Company (filed as Exhibit 2.2 to this Shell Company Report on Form 20-F), and the Warrant Assignment, Assumption and Amendment Agreement, dated June 8, 2026, by and among Voyager Acquisition Corp., the Company and Continental Stock Transfer &amp; Trust Company (filed as Exhibit 2.5 to this Shell Company Report on Form 20-F), each of which is incorporated herein by reference.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close of the period covered by the Shell Company Report on Form 20-F, the Company had 141,407,813 ordinary shares and 22,706,305 warrants to purchase ordinary shares outstanding. The Company’s securities registered pursuant to Section 12(b) of the Exchange Act consist of the following:</w:t>
      </w:r>
    </w:p>
    <w:p>
      <w:pPr>
        <w:spacing w:after="0" w:line="176" w:lineRule="exact"/>
        <w:rPr>
          <w:sz w:val="20"/>
          <w:szCs w:val="20"/>
          <w:color w:val="auto"/>
        </w:rPr>
      </w:pPr>
    </w:p>
    <w:p>
      <w:pPr>
        <w:ind w:left="880" w:hanging="224"/>
        <w:spacing w:after="0"/>
        <w:tabs>
          <w:tab w:leader="none" w:pos="8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Ordinary Shares, par value CHF 100/11,325 per share, traded on the Nasdaq Global Market under the symbol “VRXA”;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Warrants, each whole warrant exercisable for one PubCo Ordinary Share at an exercise price of $11.50 per share, traded on the Nasdaq Capital Market under the symbol “VRXAW”.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a stock corporation (Aktiengesellschaft) organized under the laws of Switzerland with its registered office in Zurich,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capital and capital structure are governed by the Swiss Code of Obligations (the “CO”) and the Company’s Articles of Association.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Band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Company’s Articles of Association, the board of directors of the Company (the “Board”) is authorized under a capital band (Kapitalband) to increase the Company’s current share capital at any time until December 31, 2030 by a maximum nominal amount of CHF 623,952 through the issuance of up to 70,662,564 registered common shares with a par value of CHF 100/11,325 each, whereby the upper limit of the capital band is nominally CHF 1,871,856 and the lower limit is nominally CHF 1,247,904.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Conditional Capital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Company’s Articles of Association, the Company’s share capital may be increased through conditional capital by (i) a maximum amount of CHF 197,044 through the issuance of not more than 22,315,233 registered common shares with a par value of CHF 100/11,325 each upon exercise of option rights granted to new shareholders or third parties in connection with the public offer of the Company and the listing of the shares, (ii) a maximum amount of CHF 44,152 through the issuance of not more than 5,000,214 registered common shares with a par value of CHF 100/11,325 each upon exercise of option rights granted to shareholders of the transferring company in connection with the merger of the Company, and (iii) a maximum amount of CHF 120,376 through the issuance of not more than 13,632,582 registered common shares with a par value of CHF 100/11,325 each upon exercise of option rights granted to employees, members of the Board, members of the Executive Board and advisors of the Company and/or its subsidiaries. The preemptive rights and advance subscription rights of existing shareholders are excluded with respect to such conditional capital as described in the Articles of Association.</w:t>
      </w:r>
    </w:p>
    <w:p>
      <w:pPr>
        <w:spacing w:after="0" w:line="184" w:lineRule="exact"/>
        <w:rPr>
          <w:sz w:val="20"/>
          <w:szCs w:val="20"/>
          <w:color w:val="auto"/>
        </w:rPr>
      </w:pPr>
    </w:p>
    <w:p>
      <w:pPr>
        <w:ind w:right="9080" w:firstLine="8"/>
        <w:spacing w:after="0" w:line="503" w:lineRule="auto"/>
        <w:tabs>
          <w:tab w:leader="none" w:pos="285"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PubCo Ordinary Shares Voting Rights</w:t>
      </w: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PubCo Ordinary Share entitles its holder to one vote on all matters submitted to a vote of the Company’s shareholders at a general meeting. The Articles of Association do not provide for cumulative voting. Resolutions of the general meeting are generally adopted by an absolute majority of the votes represented at such meeting, unless a qualified majority is required by Swiss law or the Articles of Association.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PubCo Ordinary Shares are entitled to receive dividends when, as and if declared by PubCo’s general meeting, based upon a proposal by the Board, out of funds legally available therefor under Swiss law. Swiss law requires that dividends may only be paid out of (i) balance sheet profits (Bilanzgewinn) or (ii) reserves from capital contributions (Reserven aus Kapitaleinlagen), in each case as presented in PubCo’s audited standalone annual statutory financial statements prepared in accordance with Swiss law. PubCo’s Articles of Association do not provide for discriminatory dividend rights among shares of the same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the Company’s dissolution or liquidation, holders of PubCo Ordinary Shares are entitled to share ratably in all assets remaining after payment of all debts and liabilities, subject to any preferential liquidation rights of other classes or series of securities, if any. The Articles of Association do not designate different classes of shares, and the Company does not have any participation certificates or profit-sharing certificates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and 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Swiss law, existing shareholders generally have preemptive rights (Bezugsrechte) to subscribe for new shares issued by the Company in proportion to the nominal value of shares held by them, unless such preemptive rights have been limited or excluded by the general meeting or, in the case of the capital band or conditional capital, by the Board within the limits authorized by the Articles of Association. Advance subscription rights (Vorwegzeichnungsrechte) also apply to certain equity-linked instruments. If preemptive rights are granted but not exercised, the Board may allocate them as it elects in accordance with Swiss law and the Articles of Association.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PubCo Ordinary Shares are not subject to any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 Paid and Non-Assessable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issued and outstanding PubCo Ordinary Shares are fully paid and non-assessable (i.e., the holders thereof are not subject to any obligation to make further payments to PubCo with respect to such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no transfer restrictions in the Articles of Association. Uncertificated shares may only be transferred by way of assignment unless they are registered as intermediated securities, and shares or beneficial interests in shares credited to an intermediated securities account may be transferred by crediting the relevant intermediated securities to the acquirer’s securities account in accordance with applicable rules. Voting rights may be exercised only after a shareholder has been entered in the Company’s share register with voting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PubCo Warrants—SPAC Public and Private Placement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among Voyager Acquisition Corp. (the “SPAC”), the Company, Veraxa Biotech AG and the other parties thereto, each outstanding warrant of the SPAC was assumed by the Company and converted into a warrant to purchase one PubCo Ordinary Share on substantially the same terms and conditions as were applicable to such SPAC warrant immediately prior to the Initial Merger Effective Time, pursuant to the Warrant Assignment, Assumption and Amendment Agreement (Exhibit 2.5). Immediately prior to the Business Combination, the SPAC had issued 12,650,000 public warrants, 5,037,500 sponsor private placement warrants and 2,627,500 underwriter private placement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and Period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whole PubCo Warrant entitles the registered holder thereof to purchase one PubCo Ordinary Share at an exercise price of $11.50 per share, subject to adjustment as described below. The Public Warrants become exercisable on the later of (a) 30 days after the completion of the Business Combination and (b) 12 months from the closing of the SPAC’s initial public offering, provided that the Company has an effective registration statement under the Securities Act covering the PubCo Ordinary Shares issuable upon exercise and a current prospectus relating to them is available or the Company permits holders to exercise on a cashless basis under certain circumstances. The PubCo Warrants will expire five (5) years after the completion of the Business Combination, or earlier upon redemption or liquidation.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Warrants for 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PubCo may redeem the outstanding public warrants (the “Public Warrants”), in whole and not in part, at a price of $0.01 per warrant:</w:t>
      </w:r>
    </w:p>
    <w:p>
      <w:pPr>
        <w:spacing w:after="0" w:line="225"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PubCo Ordinary Shares equals or exceeds $18.00 per share (as adjusted for share splits, share capitalizations, reorganizations, recapitalizations and the like) for any 20 trading days within a 30-trading day period ending on the third trading day prior to the date on which notice of redemption is given to the warrant holders;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ind w:left="660" w:right="20" w:hanging="328"/>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an effective registration statement covering the PubCo Ordinary Shares issuable upon exercise of the warrants and a current prospectus relating thereto is available throughout the 30-day redemption period.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PubCo calls the Public Warrants for redemption, management will have the option to require all holders that wish to exercise the Public Warrants to do so on a “cashless basis,” as described in the Warrant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Cashless Exercise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registration statement covering the PubCo Ordinary Shares issuable upon exercise of the Public Warrants is not effective by the 60th day after the closing of the Business Combination, warrant holders may, until there is an effective registration statement and during any period when the Company fails to maintain an effective registration statement, exercise warrants on a “cashless basis” in accordance with Section 3(a)(9) of the Securities Act or another exemption. If the PubCo Ordinary Shares are not listed on a national securities exchange such that they satisfy the definition of a “covered security” under Section 18(b)(1) of the Securities Act at the time of exercise, the Company may require holders of Public Warrants to exercise on a cashless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and the number of PubCo Ordinary Shares issuable upon exercise of the PubCo Warrants are subject to adjustment in certain circumstances, including in the event of a share split, share dividend, extraordinary dividend, recapitalization, reorganization, merger or consolidation. However, except as described below, the PubCo Warrants will not be adjusted for issuances of PubCo Ordinary Shares at a price below their exercise price.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number of outstanding PubCo Ordinary Shares is increased by a share capitalization payable in PubCo Ordinary Shares, or by a split-up of PubCo Ordinary Shares, or if a similar event occurs, then on the effective date of such event, the number of PubCo Ordinary Shares issuable on exercise of each PubCo Warrant will be increased in proportion to such increase, and the exercise price shall be proportionally decreased. If the number of outstanding PubCo Ordinary Shares is decreased by a consolidation, combination, reverse share split or similar event, the number of PubCo Ordinary Shares issuable on exercise of each PubCo Warrant will be decreased in proportion to such decrease, and the exercise price shall be proportionally increased.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Exercise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PubCo Warrants will be exercisable for cash unless the Company has an effective and current registration statement covering the PubCo Ordinary Shares issuable upon exercise of the warrants and a current prospectus relating thereto is available, or the Company has permitted holders to exercise their warrants on a cashless basis in accordance with the terms of the Warrant Agreement. If a registration statement covering the PubCo Ordinary Shares issuable upon exercise of the Public Warrants is not effective by the 60th day after the closing of the Business Combination, warrant holders may, until such time as there is an effective registration statement and during any period when the Company fails to maintain an effective registration statement, exercise warrants on a cashless basis in accordance with Section 3(a)(9) of the Securities Act or another exemption.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private placement warrants (the “Private Placement Warrants”) were originally issued in a private placement simultaneously with the closing of the SPAC’s initial public offering and subsequently assumed by the Company.</w:t>
      </w:r>
    </w:p>
    <w:p>
      <w:pPr>
        <w:spacing w:after="0" w:line="162" w:lineRule="exact"/>
        <w:rPr>
          <w:sz w:val="20"/>
          <w:szCs w:val="20"/>
          <w:color w:val="auto"/>
        </w:rPr>
      </w:pPr>
    </w:p>
    <w:p>
      <w:pPr>
        <w:ind w:left="660" w:right="20" w:hanging="328"/>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purchased in a private placement in which the Sponsor purchased 5,037,500 warrants and Cantor Fitzgerald &amp; Co. and Odeon Capital Group LLC purchased 2,627,500 warrants, in each case at a purchase price of $1.00 per warrant;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identical to the Public Warrants, except that they are not transferable, assignable or salable until 30 days after the completion of the Business Combination, except to permitted transferees;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otherwise subject to the terms of the Warrant Agreement, as assigned to and assumed by the Company under the Warrant Assignment, Assumption and Amendment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Private Placement Warrants are held by holders other than the initial purchasers or their permitted transferees, the Private Placement Warrants will be redeemable by PubCo and exercisable by the holders on the same basis as the Public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PubCo Ordinary Shares will be issued upon exercise of the PubCo Warrants. If, upon exercise of a warrant, a holder would be entitled to receive a fractional interest in a share, PubCo will round down to the nearest whole number the number of PubCo Ordinary Shares issuable to such holder upon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High Trail Warrant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High Trail financing, SPAC, PubCo and High Trail Capital LP executed a Securities Purchase Agreement, dated May 27, 2026, in respect of a private placement of a senior secured note in the principal amount of $27,500,000 and a four-year warrant for an aggregate exercise price of $27.5 million, with an initial exercise price of $11.50 per share. The closing of the High Trail financing occurred on June 15, 2026. The warrant was issued to HT Investments MA LLC or its assigns (the “High Trail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High Trail Warrant has an initial exercise price of $11.50 per PubCo Ordinary Share, subject to adjustment. If, after the earlier of the Effectiveness Deadline (as defined in the Securities Purchase Agreement) and the date the applicable resale registration statement becomes effective, such resale registration statement is not available for the resale of all Warrant Shares, then the exercise price for the number of Warrant Shares for which the resale registration statement is not available will instead be the par value of an Ordinary Share at the time of exercise, if such par value is less than $11.50, subject to adjustment as provided in the High Trail Warrant.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High Trail Warrant was issued on June 15, 2026 and is exercisable at any time on or after its issuance date and on or prior to 5:00 p.m. (New York City time) on the four-year anniversary of the date on which a resale registration statement covering the resale of all Warrant Shares is declared effective by the SEC.</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Nominal Value Exercise and Principal Reduction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High Trail Warrant may be exercised by payment in cash, through a “nominal value exercise” in which the holder receives a number of Warrant Shares calculated under the formula in the warrant and pays the aggregate nominal value of the shares to be issued, or through a deduction and set-off from the outstanding principal amount under the Senior Secured Note due 2027. These exercise mechanics differ from those applicable to the Public Warrants and Private Placement Warrants described in Section (C)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Limitation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not effect an exercise of the High Trail Warrant to the extent that, after giving effect to the issuance of shares upon exercise, the holder and its attribution parties would beneficially own more than 4.99% of the outstanding Ordinary Shares. The holder may increase or decrease this limitation by notice to the Company, provided that the limitation may not exceed 9.99% and any increase will not be effective until the 61st day after notice is delivered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High Trail Warrant and all rights thereunder, including registration rights, are transferable, in whole or in part, upon surrender of the warrant at the principal office of the Company or its designated agent, together with a written assignment substantially in the form attached to the warrant and funds sufficient to pay any transfer taxes payable upon the transfer, subject to applicable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to SPAC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High Trail Warrant is separate from, and not part of, the Public Warrants and Private Placement Warrants assumed from the SPAC. The High Trail Warrant was issued pursuant to the Securities Purchase Agreement and is governed by terms that are independent of the Warrant Agreement applicable to the Public Warrants and Private Placement Warrants. The Securities Purchase Agreement, the Senior Secured Note due 2027 and the High Trail Warrant are filed as Exhibits 4.10, 4.11 and 4.12, respectively, to this Shell Company Report on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High Trail Warrant is exercisable for up to 2,391,305 PubCo Ordinary Shares, subject to adjustment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Forced Exercise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last reported sale price per Ordinary Share has equaled or exceeded $25.00, subject to adjustment, for each of the most recent 20 consecutive trading days, the Company may, at its sole discretion and if the applicable equity conditions are satisfied, require the holder to exercise the High Trail Warrant in full.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Anti-Takeover Effects of Swiss Law and the Articles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provisions of Swiss law and PubCo’s Articles of Association may have the effect of delaying, deferring, or preventing a change in control of PubCo. The following is a summary of certain of those provisions.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General Meeting Voting Thresholds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Swiss law and the Articles of Association, certain significant corporate actions require a qualified majority of at least two-thirds of the votes represented and the majority of the aggregate nominal value of shares represented at a general meeting. Such matters include, among others: (i) changes to the Company’s corporate purpose; (ii) the consolidation of shares, insofar as the consent of all affected shareholders is not required; (iii) capital increases from equity, against contributions in kind, by offsetting receivables or involving the grant of special privileges; (iv) the limitation or withdrawal of subscription rights; (v) the introduction of conditional capital or a capital band; (vi) restrictions on the transferability of registered shares; (vii) the creation of shares with privileged voting rights; (viii) the change of the currency of the share capital; (ix) the relocation of the Company’s registered office;</w:t>
      </w:r>
    </w:p>
    <w:p>
      <w:pPr>
        <w:spacing w:after="0" w:line="5" w:lineRule="exact"/>
        <w:rPr>
          <w:sz w:val="20"/>
          <w:szCs w:val="20"/>
          <w:color w:val="auto"/>
        </w:rPr>
      </w:pPr>
    </w:p>
    <w:p>
      <w:pPr>
        <w:ind w:firstLine="8"/>
        <w:spacing w:after="0" w:line="260" w:lineRule="auto"/>
        <w:tabs>
          <w:tab w:leader="none" w:pos="26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Company’s equity securities; (xi) the introduction of an arbitration clause in the Articles of Association; and (xii) the dissolution or liquidation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Authority Under Capital Band and Conditional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described in Section (A), the Board has authority under the capital band and conditional capital provisions of the Company’s Articles of Association to issue additional PubCo Ordinary Shares, or option rights exercisable for PubCo Ordinary Shares, without obtaining further shareholder approval, up to the limits authorized therein. The issuance of additional shares under such authority may have a dilutive effect on existing shareholders and may deter unsolicited acquisition proposals.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Registration and Transfer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share register (Aktienbuch) in which the names and addresses of owners, usufructuaries and nominees of shares are recorded. Only those registered in the share register are recognized as shareholders, usufructuaries or nominees vis-à-vis the Company, and voting rights may be exercised only by shareholders, nominees or usufructuaries entered in the share register with voting rights as of the cut-off date determined by the Board. The Board may cancel entries that were based on untrue information and regulates the requirements for recognition of persons as shareholders, usufructuaries or nominees with or without voting rights and their registration in the share register.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for Shareholder Proposals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Articles of Association provide that one or more shareholders who together represent at least 5% of the share capital or votes may request that a general meeting be convened, and shareholders who together represent at least 0.5% of the share capital or votes may request that an item be included on the agenda. A written agenda request must be received by the Company at least 40 days before the general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Bid Rule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Swiss law provides certain rules and protections for shareholders of domestic listed companies. Because the PubCo Ordinary Shares are listed exclusively on Nasdaq and not in Switzerland, the Swiss rules under the Swiss Financial Market Infrastructure Act on disclosure of shareholdings and tender offers, including mandatory tender offer requirements and regulations regarding voluntary tender offers, do not apply to the Company as they typically would to a Swiss-listed company.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Board Classification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consists of five members. The members of the Board, the chairman of the Board and the members of the compensation committee are elected individually by the general meeting for a term of one year until completion of the next annual general meeting, and re-election is permissible.</w:t>
      </w:r>
    </w:p>
    <w:p>
      <w:pPr>
        <w:spacing w:after="0" w:line="158" w:lineRule="exact"/>
        <w:rPr>
          <w:sz w:val="20"/>
          <w:szCs w:val="20"/>
          <w:color w:val="auto"/>
        </w:rPr>
      </w:pPr>
    </w:p>
    <w:p>
      <w:pPr>
        <w:ind w:right="7600" w:firstLine="8"/>
        <w:spacing w:after="0" w:line="503" w:lineRule="auto"/>
        <w:tabs>
          <w:tab w:leader="none" w:pos="275"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Listing, Transfer Agent and Warrant Agent Listing</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PubCo Ordinary Shares are listed on the Nasdaq Global Market under the symbol “VRXA” and the PubCo Warrants are listed on the Nasdaq Capital Market under the symbol “VRXAW.”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PubCo Ordinary Shares is Continental Stock Transfer &amp; Trust Company, 1 State Street, 30th Floor, New York, New York 10004.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warrant agent for the PubCo Warrants under the Warrant Agreement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Governing Law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Articles of Association are governed by, and construed in accordance with, Swiss law. The Warrant Assignment, Assumption and Amendment Agreement is governed by New York law, except that matters required to be governed by Cayman Islands law or Swiss law are governed by the laws of those jurisdictions, as applicable. All questions concerning the construction, validity, enforcement and interpretation of the Securities Purchase Agreement and the Senior Secured Note due 2027 are governed by Delaware law, and all questions concerning the construction, validity, enforcement and interpretation of the High Trail Warrant are determined in accordance with the Securities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Qualification of Summary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material terms of PubCo’s securities registered under Section 12 of the Exchange Act does not purport to be complete and is qualified in its entirety by reference to the full text of:</w:t>
      </w:r>
    </w:p>
    <w:p>
      <w:pPr>
        <w:spacing w:after="0" w:line="162"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Articles of Association, filed as Exhibit 1.1 to this Shell Company Report on Form 20-F;</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and the Warrant Assignment, Assumption and Amendment Agreement, filed as Exhibits 2.2 and 2.5, respectively, to this Shell Company Report on Form 20-F;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the Senior Secured Note due 2027 and the Warrant to Purchase Ordinary Shares, filed as Exhibits 4.10, 4.11 and 4.12, respectively, to this Shell Company Report on Form 20-F, to the extent described herein.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Investors should read the full text of the Articles of Association and the Warrant Agreement for a complete description of the rights of holders of PubCo Ordinary Shares and PubCo Warrants.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ASSIGNMENT, ASSUMPTION AND AMENDMENT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WARRANT ASSIGNMENT, ASSUMPTION AND AMENDMENT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June 10,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 (i) Voyager Acquisition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(ii) Veraxa Biotech Holding AG, a company limited by shares organized under the Laws of Switzerland (“</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color w:val="auto"/>
        </w:rPr>
        <w:t>”), and (iii) Continental Stock Transfer &amp; Trust Company, a New York limited purpose trust company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together with the Company and PubCo,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The Company and the Warrant Agent are parties to that certain Warrant Agreement, dated as of August 8, 2024, and filed with the United States Securities and Exchange Commission as part of a current report Form 8-K on August 14, 2024 (as amended, including all Exhibits thereto, the “</w:t>
      </w:r>
      <w:r>
        <w:rPr>
          <w:rFonts w:ascii="Times New Roman" w:cs="Times New Roman" w:eastAsia="Times New Roman" w:hAnsi="Times New Roman"/>
          <w:sz w:val="18"/>
          <w:szCs w:val="18"/>
          <w:b w:val="1"/>
          <w:bCs w:val="1"/>
          <w:i w:val="1"/>
          <w:iCs w:val="1"/>
          <w:color w:val="auto"/>
        </w:rPr>
        <w:t>Existing Warrant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Pursuant to the Existing Warrant Agreement, and in each case with each whole Public Warrant being exercisable for one share of the Company’s Class A ordinary shares, par value $0.0001 per share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and with an exercise price of $11.50 per share, the Company has issued and sold:</w:t>
      </w:r>
    </w:p>
    <w:p>
      <w:pPr>
        <w:spacing w:after="0" w:line="172" w:lineRule="exact"/>
        <w:rPr>
          <w:sz w:val="20"/>
          <w:szCs w:val="20"/>
          <w:color w:val="auto"/>
        </w:rPr>
      </w:pPr>
    </w:p>
    <w:p>
      <w:pPr>
        <w:ind w:left="1300" w:hanging="320"/>
        <w:spacing w:after="0"/>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12,650,000 redeemable warrants as part of units to public investors in a public offering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line="286"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5,037,500 redeemable warrants to Voyager Acquisition Sponsor Holdco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as part of a private placement transaction (the “</w:t>
      </w:r>
      <w:r>
        <w:rPr>
          <w:rFonts w:ascii="Times New Roman" w:cs="Times New Roman" w:eastAsia="Times New Roman" w:hAnsi="Times New Roman"/>
          <w:sz w:val="18"/>
          <w:szCs w:val="18"/>
          <w:b w:val="1"/>
          <w:bCs w:val="1"/>
          <w:i w:val="1"/>
          <w:iCs w:val="1"/>
          <w:color w:val="auto"/>
        </w:rPr>
        <w:t>Sponsor Private Placement Warrants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300" w:hanging="320"/>
        <w:spacing w:after="0" w:line="286"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2,627,500 redeemable warrants to certain investors as part of a private placement transaction (the “</w:t>
      </w:r>
      <w:r>
        <w:rPr>
          <w:rFonts w:ascii="Times New Roman" w:cs="Times New Roman" w:eastAsia="Times New Roman" w:hAnsi="Times New Roman"/>
          <w:sz w:val="18"/>
          <w:szCs w:val="18"/>
          <w:b w:val="1"/>
          <w:bCs w:val="1"/>
          <w:i w:val="1"/>
          <w:iCs w:val="1"/>
          <w:color w:val="auto"/>
        </w:rPr>
        <w:t>Underwriter 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together with the Public Warrants and the Sponsor Private Placement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56"/>
        <w:spacing w:after="0" w:line="266" w:lineRule="auto"/>
        <w:tabs>
          <w:tab w:leader="none" w:pos="88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PubCo, Veraxa Biotech AG, a public limited company organized under the Laws of Switzerland, and Oliver Baumann, an individual, entered into that certain Business Combination Agreement, dated as of April 22, 2025 (as amended and/or restated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pursuant to the provisions of the Business Combination Agreement: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merged with and into Veraxa Cayman Merger Sub, an exempted company limited by shares incorporated under the laws of the Cayman Islands, and a direct wholly owned Subsidiary of PubCo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with Merger Sub as the surviving company in the merger and continuing as a wholly owned subsidiary of PubCo (the “</w:t>
      </w:r>
      <w:r>
        <w:rPr>
          <w:rFonts w:ascii="Times New Roman" w:cs="Times New Roman" w:eastAsia="Times New Roman" w:hAnsi="Times New Roman"/>
          <w:sz w:val="18"/>
          <w:szCs w:val="18"/>
          <w:b w:val="1"/>
          <w:bCs w:val="1"/>
          <w:i w:val="1"/>
          <w:iCs w:val="1"/>
          <w:color w:val="auto"/>
        </w:rPr>
        <w:t>Initial Merger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Agent (as defined in the Business Combination Agreement) contributed the shares of Merger Sub received in the Initial Merger on behalf of the Company shareholders to PubCo and transferred the ordinary shares of PubCo, par value CHF 1/113.25 per share (“</w:t>
      </w:r>
      <w:r>
        <w:rPr>
          <w:rFonts w:ascii="Times New Roman" w:cs="Times New Roman" w:eastAsia="Times New Roman" w:hAnsi="Times New Roman"/>
          <w:sz w:val="18"/>
          <w:szCs w:val="18"/>
          <w:b w:val="1"/>
          <w:bCs w:val="1"/>
          <w:i w:val="1"/>
          <w:iCs w:val="1"/>
          <w:color w:val="auto"/>
        </w:rPr>
        <w:t>PubCo Ordinary Shares</w:t>
      </w:r>
      <w:r>
        <w:rPr>
          <w:rFonts w:ascii="Times New Roman" w:cs="Times New Roman" w:eastAsia="Times New Roman" w:hAnsi="Times New Roman"/>
          <w:sz w:val="18"/>
          <w:szCs w:val="18"/>
          <w:color w:val="auto"/>
        </w:rPr>
        <w:t>”) received by Sponsor to the Company shareholders (such exchange, the “</w:t>
      </w:r>
      <w:r>
        <w:rPr>
          <w:rFonts w:ascii="Times New Roman" w:cs="Times New Roman" w:eastAsia="Times New Roman" w:hAnsi="Times New Roman"/>
          <w:sz w:val="18"/>
          <w:szCs w:val="18"/>
          <w:b w:val="1"/>
          <w:bCs w:val="1"/>
          <w:i w:val="1"/>
          <w:iCs w:val="1"/>
          <w:color w:val="auto"/>
        </w:rPr>
        <w:t>Share Exchange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distributed its assets to PubCo as a liquidating distribution and was dissolved under the Laws of the Cayman Islands and ceased to be a wholly owned subsidiary of PubCo;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jc w:val="both"/>
        <w:ind w:left="1300" w:hanging="320"/>
        <w:spacing w:after="0" w:line="268" w:lineRule="auto"/>
        <w:tabs>
          <w:tab w:leader="none" w:pos="130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merged with and into PubCo, with PubCo as the surviving entity in the merger (the “</w:t>
      </w:r>
      <w:r>
        <w:rPr>
          <w:rFonts w:ascii="Times New Roman" w:cs="Times New Roman" w:eastAsia="Times New Roman" w:hAnsi="Times New Roman"/>
          <w:sz w:val="18"/>
          <w:szCs w:val="18"/>
          <w:b w:val="1"/>
          <w:bCs w:val="1"/>
          <w:i w:val="1"/>
          <w:iCs w:val="1"/>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firstLine="656"/>
        <w:spacing w:after="0" w:line="282" w:lineRule="auto"/>
        <w:tabs>
          <w:tab w:leader="none" w:pos="8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Section 4.4 of the Existing Warrant Agreement, the Warrants are no longer exercisable for Ordinary Shares but instead are exercisable (subject to the terms and conditions of the Existing Warrant Agreement, as amended hereby) for PubCo Ordinary Shares.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determined that the consummation of the transactions contemplated by the Business Combination Agreement constitutes a “Business Combination” (as such term is defined in the Existing Warrant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8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has obtained all necessary corporate approvals to enter into this Agreement and to consummate the transactions contemplated herein (including the assignment and assumption of the Existing Warrant Agreement and the related issuance of each Warrant, and exchange thereof for a warrant to subscribe for PubCo Ordinary Shares on the conditions set out herein, and the exclusion of any pre-emptive rights in that respect) and by the Existing Warrant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87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(i) that the Company assign to PubCo, and that PubCo assume from the Company, all rights, interests, duties and obligations of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under the Existing Warrant Agreement and the Warrants, and (ii) to amend the Existing Warrant Agreement to, among other things, (x) substitute PubCo and the Ordinary Shares as the issuer and underlying security, (y) reflect PubCo’s status as a Swiss issuer and a foreign private issuer and</w:t>
      </w:r>
    </w:p>
    <w:p>
      <w:pPr>
        <w:spacing w:after="0" w:line="1" w:lineRule="exact"/>
        <w:rPr>
          <w:rFonts w:ascii="Times New Roman" w:cs="Times New Roman" w:eastAsia="Times New Roman" w:hAnsi="Times New Roman"/>
          <w:sz w:val="18"/>
          <w:szCs w:val="18"/>
          <w:color w:val="auto"/>
        </w:rPr>
      </w:pPr>
    </w:p>
    <w:p>
      <w:pPr>
        <w:ind w:firstLine="8"/>
        <w:spacing w:after="0" w:line="216" w:lineRule="exact"/>
        <w:tabs>
          <w:tab w:leader="none" w:pos="25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Swiss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 related provisions and disclosures required or advisable to facilitate the valid issuance and delivery of PubCo Ordinary Shares upon exercise of the Warrants.</w:t>
      </w:r>
    </w:p>
    <w:p>
      <w:pPr>
        <w:spacing w:after="0" w:line="198" w:lineRule="exact"/>
        <w:rPr>
          <w:rFonts w:ascii="Times New Roman" w:cs="Times New Roman" w:eastAsia="Times New Roman" w:hAnsi="Times New Roman"/>
          <w:sz w:val="18"/>
          <w:szCs w:val="18"/>
          <w:color w:val="auto"/>
        </w:rPr>
      </w:pPr>
    </w:p>
    <w:p>
      <w:pPr>
        <w:jc w:val="both"/>
        <w:ind w:firstLine="656"/>
        <w:spacing w:after="0" w:line="258" w:lineRule="auto"/>
        <w:tabs>
          <w:tab w:leader="none" w:pos="80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9.8 of the Existing Warrant Agreement provides that the Company and the Warrant Agent may amend the Existing Warrant Agreement without the consent of any registered holders for the purpose of curing any ambiguity, correcting any mistake or defective provision contained therein, adjusting the definition of “Ordinary Cash Dividend” as contemplated by and in accordance with the Existing Warrant Agreement, or adding or changing any other provisions with respect to matters or questions arising under the Existing Warrant Agreement as the Company and the Warrant Agent may deem necessary or desirable and that the Company and the Warrant Agent deem shall not adversely affect the interest of the registered holders of the Warrants.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agreements contained herein and other good and valuable consideration, the receipt and sufficiency of which are hereby acknowledged, and intending to be legally bound hereby,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AND ASSUMPTION; CONSENT</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The Company hereby assigns to PubCo all of the Company’s right, title and interest in and to the Existing Warrant Agreement (as amended hereby) and PubCo hereby assumes, and agrees to pay, perform, satisfy and discharge in full, as the same become due, all of the Company’s liabilities and obligations under the Existing Warrant Agreement (as amended hereby) arising from and after the execution of this Agreement, in each case, effective immediately following the completion of the Share Exchange. As a result of the preceding sentence, effective immediately following the completion of the Share Exchange, each Warrant will be exchanged for a warrant to subscribe for PubCo Ordinary Shares pursuant to the terms and conditions of the Existing Warrant Agreement (as amended hereby).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The Warrant Agent hereby consents to the assignment of the Existing Warrant Agreement by the Company to PubCo pursuant to Section 1.1 hereof effective immediately following the completion of the Share Exchange, and the assumption of the Existing Warrant Agreement by PubCo from the Company pursuant to Section 1.1 hereof effective immediately the completion of the Share Exchange, and to the continuation of the Existing Warrant Agreement in full force and effect from and after the Share Exchange, subject at all times to the Existing Warrant Agreement (as amended hereby) and to all of the provisions, covenants, agreements, terms and conditions of the Existing Warrant Agreement and this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Adaptation</w:t>
      </w:r>
      <w:r>
        <w:rPr>
          <w:rFonts w:ascii="Times New Roman" w:cs="Times New Roman" w:eastAsia="Times New Roman" w:hAnsi="Times New Roman"/>
          <w:sz w:val="18"/>
          <w:szCs w:val="18"/>
          <w:color w:val="auto"/>
        </w:rPr>
        <w:t>. PubCo undertakes to perform and comply with, and to procure the performance and compliance with, all obligations under the Existing Warrant Agreement (as amended hereby) to the fullest extent permitted by and in accordance with Swiss law and PubCo’s Articles of Association. To the extent the provisions and obligations under the Existing Warrant Agreement (as amended hereby) cannot be performed in the same manner under Swiss law or conflict with Swiss mandatory law, such provisions and obligations shall be performed as closely as possible in good faith within the permissible limits of Swiss law and the organizational documents of PubCo, and the Parties shall use their best efforts to adapt the Existing Warrant Agreement accordingly.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EXISTING WARRANT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Warrant Agent hereby amend the Existing Warrant Agreement as provided in this Article II, effective immediately following the completion of the Share Exchange, and acknowledge and agree that the amendments to the Existing Warrant Agreement set forth in this Article II are necessary or desirable and that such amendments do not adversely affect the interests of the registered 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“Voyager Acquisition Corp., a Cayman Islands exempted company” in the Existing Warrant Agreement shall refer instead to “Veraxa Biotech Holding AG (CHE-441.201.868), a company limited by shares organized under the Laws of Switzerland”. As a result thereof, all references to the “Company” in the Existing Warrant Agreement shall be references to PubCo rather than to Voyager Acquisition Corp.</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“Class A ordinary share of the Company, par value $0.0001 per share (Class A Shares)” in the Existing Warrant Agreement shall refer instead to “common shares of the Company, par value CHF 1/113.25 (PubCo Ordinary Shares)”. As a result thereof, all references to “Class A Shares” in the Existing Warrant Agreement shall be replaced by a reference to “PubCo Ordinary Shares”.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 address for notices to the Company set forth in Section 9.2 of the Existing Warrant Agreement is hereby amended and restated in its entirety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Veraxa Biotech Holding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Talacker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8001 Zurich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Oliver Baumann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Oliver.baumann@xlifesciences.ch</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SWISS LAW PROVISIONS TO FACILITATE ISSUANCE UPON EXERCISE</w:t>
      </w:r>
    </w:p>
    <w:p>
      <w:pPr>
        <w:spacing w:after="0" w:line="207"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Conditional Share Capital; Corporate Authorizations</w:t>
      </w:r>
      <w:r>
        <w:rPr>
          <w:rFonts w:ascii="Times New Roman" w:cs="Times New Roman" w:eastAsia="Times New Roman" w:hAnsi="Times New Roman"/>
          <w:sz w:val="18"/>
          <w:szCs w:val="18"/>
          <w:color w:val="auto"/>
        </w:rPr>
        <w:t>. PubCo represents and covenants that, as of the Effective Date and at all times while any Warrants remain outstanding, it has and will maintain sufficient conditional share capital (bedingtes Aktienkapital) or other valid corporate authorization under its articles of association (the Articles) and Swiss law to permit the valid issuance, delivery and registration of the PubCo Ordinary Shares issuable upon exercise on a cash basis of all outstanding Warrants without further shareholder approval. The Parties acknowledge that PubCo’s Articles provide that shareholders’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emptive rights (Bezugsrechte) and advance subscription rights (Vorwegzeichnungsrechte) are excluded with respect to the PubCo Ordinary Shares reserved for issuance upon exercise on a cash basis of the Warrants.</w:t>
      </w:r>
    </w:p>
    <w:p>
      <w:pPr>
        <w:spacing w:after="0" w:line="203"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Valid Issuance; Ranking</w:t>
      </w:r>
      <w:r>
        <w:rPr>
          <w:rFonts w:ascii="Times New Roman" w:cs="Times New Roman" w:eastAsia="Times New Roman" w:hAnsi="Times New Roman"/>
          <w:sz w:val="18"/>
          <w:szCs w:val="18"/>
          <w:color w:val="auto"/>
        </w:rPr>
        <w:t>. PubCo covenants that any PubCo Ordinary Shares issued upon due exercise on a cash basis of the Warrants will be, upon issuance, validly issued within the meaning of Swiss law, fully paid as to their nominal value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and shall rank pari passu with all other outstanding PubCo Ordinary Shares, including with respect to dividends and distributions, subject to Swiss law and the Articles.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Swiss Issuance Mechanics</w:t>
      </w:r>
      <w:r>
        <w:rPr>
          <w:rFonts w:ascii="Times New Roman" w:cs="Times New Roman" w:eastAsia="Times New Roman" w:hAnsi="Times New Roman"/>
          <w:sz w:val="18"/>
          <w:szCs w:val="18"/>
          <w:color w:val="auto"/>
        </w:rPr>
        <w:t>. PubCo will take, and cause to be taken, all corporate actions and Swiss law formalities necessary to issue PubCo Ordinary Shares upon exercise on a cash basis of the Warrants in compliance with Swiss law and the Articles, including (i) recording each issuance in PubCo’s uncertificated securities register and share ledger, (ii) ensuring payment mechanics for exercises (including the payment at least of the nominal value in CHF) conform to Swiss law, the Existing Warrant Agreement (as amended hereby) and the Articles, and (iii) providing any required confirmations or instructions to the transfer agent and DTC to credit the PubCo Ordinary Shares to the exercising holder’s account.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No Swiss Arbitration/Forum Override of Warrant Agreement</w:t>
      </w:r>
      <w:r>
        <w:rPr>
          <w:rFonts w:ascii="Times New Roman" w:cs="Times New Roman" w:eastAsia="Times New Roman" w:hAnsi="Times New Roman"/>
          <w:sz w:val="18"/>
          <w:szCs w:val="18"/>
          <w:color w:val="auto"/>
        </w:rPr>
        <w:t>. Notwithstanding any arbitration or forum selection provision in the Articles or other organizational or corporate documents of PubCo, the governing law and forum selection provisions in Section 4.3 of this Agreement and Section 9.3 of the Existing Warrant Agreement (as amended hereby) shall control any dispute arising out of or relating to the Existing Warrant Agreement, this Agreement or the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Each of the parties hereto acknowledges and agrees that the effectiveness of this Agreement shall be contingent upon the occurrence of the Share Exchange.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Examination of the Existing Warrant Agreement</w:t>
      </w:r>
      <w:r>
        <w:rPr>
          <w:rFonts w:ascii="Times New Roman" w:cs="Times New Roman" w:eastAsia="Times New Roman" w:hAnsi="Times New Roman"/>
          <w:sz w:val="18"/>
          <w:szCs w:val="18"/>
          <w:color w:val="auto"/>
        </w:rPr>
        <w:t>. A copy of this Agreement shall be available at all reasonable times at the office of the Warrant Agent in the United States of America, for inspection by the Registered Holder (as such term is defined in the Existing Warrant Agreement) of any Warrant. The Warrant Agent may require any such holder to submit such holder’s Warrant for inspection by the Warrant Agent.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 principles thereof, provided that matters that as a matter of the Laws of the Cayman Islands are required to be governed by the Law of the Cayman Islands or Switzerland (including, without limitation, the effects of the Business Combination and the fiduciary duties that may apply to the directors and officers of the Company and the PubCo), without regard to Laws that may be applicable under conflicts of laws principles that would cause the application of the Laws of any jurisdiction other than the Cayman Islands or Switzerland, as applicable.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will be deemed an original but all of which together will constitute one and the same instrument.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to the extent specifically amended or superseded by the terms of this Agreement, all of the provisions of the Existing Warrant Agreement shall remain in full force and effect, as assigned and assumed by the parties hereto, to the extent in effect on the date hereof, and shall apply to this Agreement, mutatis mutandis. This Agreement and the Existing Warrant Agreement, as assigned and modified by this Agreement, constitute the complete agreement between the parties and supersedes any prior written or oral agreements, writings, communications or understandings with respect to the subject matter 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7"/>
          <w:szCs w:val="17"/>
          <w:color w:val="auto"/>
        </w:rPr>
        <w:t>IN WITNESS WHEREOF, PubCo, the Company and the Warrant Agent have duly executed this Agreement, all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VOYAGER ACQUISITION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Adeel Rouf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Adeel Rouf</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VERAXA BIOTECH HOLDING AG</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 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 Antz</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Vacante</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Vacante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w:t>
      </w:r>
    </w:p>
    <w:p>
      <w:pPr>
        <w:spacing w:after="0" w:line="22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 EXPIRATION OF THE EXERCISE PERIOD PROVIDED FOR IN THE WARRANT AGREEMENT DESCRIBED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(CHE-441.201.868)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limited by shares organized under the Laws of Switzerland</w:t>
      </w:r>
    </w:p>
    <w:p>
      <w:pPr>
        <w:spacing w:after="0" w:line="203"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8"/>
          <w:szCs w:val="18"/>
          <w:b w:val="1"/>
          <w:bCs w:val="1"/>
          <w:color w:val="auto"/>
        </w:rPr>
        <w:t>CUSIP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9" w:lineRule="exact"/>
        <w:rPr>
          <w:sz w:val="20"/>
          <w:szCs w:val="20"/>
          <w:color w:val="auto"/>
        </w:rPr>
      </w:pPr>
    </w:p>
    <w:p>
      <w:pPr>
        <w:ind w:left="660"/>
        <w:spacing w:after="0"/>
        <w:tabs>
          <w:tab w:leader="none" w:pos="8780" w:val="left"/>
        </w:tabs>
        <w:rPr>
          <w:sz w:val="20"/>
          <w:szCs w:val="20"/>
          <w:color w:val="auto"/>
        </w:rPr>
      </w:pPr>
      <w:r>
        <w:rPr>
          <w:rFonts w:ascii="Times New Roman" w:cs="Times New Roman" w:eastAsia="Times New Roman" w:hAnsi="Times New Roman"/>
          <w:sz w:val="18"/>
          <w:szCs w:val="18"/>
          <w:color w:val="auto"/>
        </w:rPr>
        <w:t>This Warrant Certificate certifies that ____________, or registered assigns, is the registered holder of [</w:t>
      </w:r>
      <w:r>
        <w:rPr>
          <w:sz w:val="20"/>
          <w:szCs w:val="20"/>
          <w:color w:val="auto"/>
        </w:rPr>
        <w:tab/>
      </w:r>
      <w:r>
        <w:rPr>
          <w:rFonts w:ascii="Times New Roman" w:cs="Times New Roman" w:eastAsia="Times New Roman" w:hAnsi="Times New Roman"/>
          <w:sz w:val="18"/>
          <w:szCs w:val="18"/>
          <w:color w:val="auto"/>
        </w:rPr>
        <w:t>] warrants evidenced hereby (the</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to purchase ordinary shares with a par value of CHF 1/113.25 (“</w:t>
      </w:r>
      <w:r>
        <w:rPr>
          <w:rFonts w:ascii="Times New Roman" w:cs="Times New Roman" w:eastAsia="Times New Roman" w:hAnsi="Times New Roman"/>
          <w:sz w:val="18"/>
          <w:szCs w:val="18"/>
          <w:b w:val="1"/>
          <w:bCs w:val="1"/>
          <w:u w:val="single" w:color="auto"/>
          <w:color w:val="auto"/>
        </w:rPr>
        <w:t>Ordinary Shares</w:t>
      </w:r>
      <w:r>
        <w:rPr>
          <w:rFonts w:ascii="Times New Roman" w:cs="Times New Roman" w:eastAsia="Times New Roman" w:hAnsi="Times New Roman"/>
          <w:sz w:val="18"/>
          <w:szCs w:val="18"/>
          <w:color w:val="auto"/>
        </w:rPr>
        <w:t>”), of Veraxa Biotech Holding AG (CHE-441.201.868), a company limited by shares organized under the Laws of Switzerland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Each whole Warrant entitles the holder, upon exercise during the period set forth in the Warrant Agreement referred to below, to receive from the Company that number of fully paid and non-assessable Ordinary Shares as set forth below, at the exercise price (the “</w:t>
      </w:r>
      <w:r>
        <w:rPr>
          <w:rFonts w:ascii="Times New Roman" w:cs="Times New Roman" w:eastAsia="Times New Roman" w:hAnsi="Times New Roman"/>
          <w:sz w:val="18"/>
          <w:szCs w:val="18"/>
          <w:b w:val="1"/>
          <w:bCs w:val="1"/>
          <w:u w:val="single" w:color="auto"/>
          <w:color w:val="auto"/>
        </w:rPr>
        <w:t>Warrant Price</w:t>
      </w:r>
      <w:r>
        <w:rPr>
          <w:rFonts w:ascii="Times New Roman" w:cs="Times New Roman" w:eastAsia="Times New Roman" w:hAnsi="Times New Roman"/>
          <w:sz w:val="18"/>
          <w:szCs w:val="18"/>
          <w:color w:val="auto"/>
        </w:rPr>
        <w:t>”) as determined pursuant to the Warrant Agreement, payable in lawful money (or through “</w:t>
      </w:r>
      <w:r>
        <w:rPr>
          <w:rFonts w:ascii="Times New Roman" w:cs="Times New Roman" w:eastAsia="Times New Roman" w:hAnsi="Times New Roman"/>
          <w:sz w:val="18"/>
          <w:szCs w:val="18"/>
          <w:b w:val="1"/>
          <w:bCs w:val="1"/>
          <w:u w:val="single" w:color="auto"/>
          <w:color w:val="auto"/>
        </w:rPr>
        <w:t>cashless exercise</w:t>
      </w:r>
      <w:r>
        <w:rPr>
          <w:rFonts w:ascii="Times New Roman" w:cs="Times New Roman" w:eastAsia="Times New Roman" w:hAnsi="Times New Roman"/>
          <w:sz w:val="18"/>
          <w:szCs w:val="18"/>
          <w:color w:val="auto"/>
        </w:rPr>
        <w:t>”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initial Warrant Price per Ordinary Share for any Warrant is equal to $11.50 per share. The Warrant Price is subject to adjustment upon the occurrence of certain events set forth in the Warrant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 In addition, and notwithstanding anything else in this Warrant Certificate or the Warrant Agreement, to the extent that the holder of a Warrant has delivered a notice contemplated by </w:t>
      </w:r>
      <w:r>
        <w:rPr>
          <w:rFonts w:ascii="Times New Roman" w:cs="Times New Roman" w:eastAsia="Times New Roman" w:hAnsi="Times New Roman"/>
          <w:sz w:val="18"/>
          <w:szCs w:val="18"/>
          <w:u w:val="single" w:color="auto"/>
          <w:color w:val="auto"/>
        </w:rPr>
        <w:t>subsection 3.5.5</w:t>
      </w:r>
      <w:r>
        <w:rPr>
          <w:rFonts w:ascii="Times New Roman" w:cs="Times New Roman" w:eastAsia="Times New Roman" w:hAnsi="Times New Roman"/>
          <w:sz w:val="18"/>
          <w:szCs w:val="18"/>
          <w:color w:val="auto"/>
        </w:rPr>
        <w:t xml:space="preserve"> of the Warrant Agreement, neither the Company nor the Warrant Agent shall issue to Holder, and Holder may not acquire, any right it might have to acquire, a number of Ordinary Shares upon exercise of any Warrant to the extent that, upon such exercise, the number of Ordinary Shares then beneficially owned by Holder would exceed the Maximum Percentage of Ordinary Shares outstanding immediately after giving effect to such exercise as determined in accordance with </w:t>
      </w:r>
      <w:r>
        <w:rPr>
          <w:rFonts w:ascii="Times New Roman" w:cs="Times New Roman" w:eastAsia="Times New Roman" w:hAnsi="Times New Roman"/>
          <w:sz w:val="18"/>
          <w:szCs w:val="18"/>
          <w:u w:val="single" w:color="auto"/>
          <w:color w:val="auto"/>
        </w:rPr>
        <w:t>subsection 3.3.5</w:t>
      </w:r>
      <w:r>
        <w:rPr>
          <w:rFonts w:ascii="Times New Roman" w:cs="Times New Roman" w:eastAsia="Times New Roman" w:hAnsi="Times New Roman"/>
          <w:sz w:val="18"/>
          <w:szCs w:val="18"/>
          <w:color w:val="auto"/>
        </w:rPr>
        <w:t xml:space="preserve"> of the Warrant Agreement.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VERAXA BIOTECH HOLDING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 as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jc w:val="center"/>
        <w:ind w:right="40"/>
        <w:spacing w:after="0"/>
        <w:rPr>
          <w:sz w:val="20"/>
          <w:szCs w:val="20"/>
          <w:color w:val="auto"/>
        </w:rPr>
      </w:pPr>
      <w:r>
        <w:rPr>
          <w:rFonts w:ascii="Times New Roman" w:cs="Times New Roman" w:eastAsia="Times New Roman" w:hAnsi="Times New Roman"/>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[Reverse]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Warrants evidenced by this Warrant Certificate are part of a duly authorized issue of Warrants entitling the holder on exercise to receive [ ] Ordinary Shares and are issued or to be issued pursuant to a Warrant Agreement dated as of August 8, 2024 (the “</w:t>
      </w:r>
      <w:r>
        <w:rPr>
          <w:rFonts w:ascii="Times New Roman" w:cs="Times New Roman" w:eastAsia="Times New Roman" w:hAnsi="Times New Roman"/>
          <w:sz w:val="18"/>
          <w:szCs w:val="18"/>
          <w:b w:val="1"/>
          <w:bCs w:val="1"/>
          <w:u w:val="single" w:color="auto"/>
          <w:color w:val="auto"/>
        </w:rPr>
        <w:t>Warrant Agreement</w:t>
      </w:r>
      <w:r>
        <w:rPr>
          <w:rFonts w:ascii="Times New Roman" w:cs="Times New Roman" w:eastAsia="Times New Roman" w:hAnsi="Times New Roman"/>
          <w:sz w:val="18"/>
          <w:szCs w:val="18"/>
          <w:color w:val="auto"/>
        </w:rPr>
        <w:t>”) between Voyager Acquisition Corp., a Cayman Islands exempted company, and Continental Stock Transfer &amp; Trust Company, a New York limited purpose trust company, as assigned to and assumed by Veraxa Biotech Holding AG (CHE-441.201.868), a company limited by shares organized under the Laws of Switzerland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by that certain Warrant Assignment, Assumption and Amendment Agreement dated as of [ ● ], 2025 (the “</w:t>
      </w:r>
      <w:r>
        <w:rPr>
          <w:rFonts w:ascii="Times New Roman" w:cs="Times New Roman" w:eastAsia="Times New Roman" w:hAnsi="Times New Roman"/>
          <w:sz w:val="18"/>
          <w:szCs w:val="18"/>
          <w:b w:val="1"/>
          <w:bCs w:val="1"/>
          <w:u w:val="single" w:color="auto"/>
          <w:color w:val="auto"/>
        </w:rPr>
        <w:t>Warrant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duly executed and delivered by the Company to Continental Stock Transfer &amp; Trust Company, a New York limited purpose trust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warrant agent (the “</w:t>
      </w: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w:t>
      </w: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xml:space="preserv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Warrant Certificate or the Warrant Agreement, no Warrant may be exercised unless at the time of exercise (i) a registration statement covering the Ordinary Shares to be issued upon exercise is effective under the Securities Act of 1933, as amended, and (ii) a prospectus thereunder relating to the Ordinary Shares is current, except through “</w:t>
      </w: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as provided for in the Warrant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 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Election to Purchase</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(To Be Executed Upon Exercise of Warrant)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irrevocably elects to exercise</w:t>
      </w:r>
    </w:p>
    <w:p>
      <w:pPr>
        <w:spacing w:after="0" w:line="225" w:lineRule="exact"/>
        <w:rPr>
          <w:sz w:val="20"/>
          <w:szCs w:val="20"/>
          <w:color w:val="auto"/>
        </w:rPr>
      </w:pPr>
    </w:p>
    <w:p>
      <w:pPr>
        <w:ind w:left="1300" w:hanging="320"/>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[number]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per Share: USD [price]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USD [total amount]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and to receive [number] fully paid Ordinary Shares of Veraxa Biotech Holding AG, par value CHF 1/113.25, out of the Company’s conditional share capital pursuant to Article 3a of the Company’s Articles of Association.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exercise price of USD [total amount] will be/has been transferred to the following bank account of the Company: [Company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requests that such Ordinary Shares be registered in the name of [ ], whose address is [ ] and that such Ordinary Shares be delivered to [ ] whose address is [ ]. If said [ ] number of Ordinary Shares is less than all of the Ordinary Shares purchasable hereunder, the undersigned</w:t>
      </w:r>
    </w:p>
    <w:p>
      <w:pPr>
        <w:jc w:val="both"/>
        <w:spacing w:after="0" w:line="260" w:lineRule="auto"/>
        <w:rPr>
          <w:sz w:val="20"/>
          <w:szCs w:val="20"/>
          <w:color w:val="auto"/>
        </w:rPr>
      </w:pPr>
      <w:r>
        <w:rPr>
          <w:rFonts w:ascii="Times New Roman" w:cs="Times New Roman" w:eastAsia="Times New Roman" w:hAnsi="Times New Roman"/>
          <w:sz w:val="18"/>
          <w:szCs w:val="18"/>
          <w:color w:val="auto"/>
        </w:rPr>
        <w:t>requests that a new Warrant Certificate representing the remaining balance of such Ordinary Shares be registered in the name of [ ], whose address is [ ] and that such Warrant Certificate be delivered to [ ], whose address is [ ].</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has been called for redemption by the Company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Warrant Agreement and the Company has required “</w:t>
      </w:r>
      <w:r>
        <w:rPr>
          <w:rFonts w:ascii="Times New Roman" w:cs="Times New Roman" w:eastAsia="Times New Roman" w:hAnsi="Times New Roman"/>
          <w:sz w:val="18"/>
          <w:szCs w:val="18"/>
          <w:i w:val="1"/>
          <w:iCs w:val="1"/>
          <w:color w:val="auto"/>
        </w:rPr>
        <w:t>cashless</w:t>
      </w:r>
      <w:r>
        <w:rPr>
          <w:rFonts w:ascii="Times New Roman" w:cs="Times New Roman" w:eastAsia="Times New Roman" w:hAnsi="Times New Roman"/>
          <w:sz w:val="18"/>
          <w:szCs w:val="18"/>
          <w:color w:val="auto"/>
        </w:rPr>
        <w:t xml:space="preserve">” exercise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3.3.1(b)</w:t>
      </w:r>
      <w:r>
        <w:rPr>
          <w:rFonts w:ascii="Times New Roman" w:cs="Times New Roman" w:eastAsia="Times New Roman" w:hAnsi="Times New Roman"/>
          <w:sz w:val="18"/>
          <w:szCs w:val="18"/>
          <w:color w:val="auto"/>
        </w:rPr>
        <w:t xml:space="preserve"> of the Warrant Agreement,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3.3.1(b)</w:t>
      </w:r>
      <w:r>
        <w:rPr>
          <w:rFonts w:ascii="Times New Roman" w:cs="Times New Roman" w:eastAsia="Times New Roman" w:hAnsi="Times New Roman"/>
          <w:sz w:val="18"/>
          <w:szCs w:val="18"/>
          <w:color w:val="auto"/>
        </w:rPr>
        <w:t xml:space="preserve"> of the Warrant Agreement.</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In the event that the Warrant is to be exercised on a “</w:t>
      </w:r>
      <w:r>
        <w:rPr>
          <w:rFonts w:ascii="Times New Roman" w:cs="Times New Roman" w:eastAsia="Times New Roman" w:hAnsi="Times New Roman"/>
          <w:sz w:val="18"/>
          <w:szCs w:val="18"/>
          <w:i w:val="1"/>
          <w:iCs w:val="1"/>
          <w:color w:val="auto"/>
        </w:rPr>
        <w:t>cashless</w:t>
      </w:r>
      <w:r>
        <w:rPr>
          <w:rFonts w:ascii="Times New Roman" w:cs="Times New Roman" w:eastAsia="Times New Roman" w:hAnsi="Times New Roman"/>
          <w:sz w:val="18"/>
          <w:szCs w:val="18"/>
          <w:color w:val="auto"/>
        </w:rPr>
        <w:t xml:space="preserve">” basis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the event that the Warrant may be exercised, to the extent allowed by the Warrant Agreement, through cashless exercise (i) the number of Ordinary Shares that this Warrant is exercisable for would be determined in accordance with the relevant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Ordinary Shares is less than all of the Ordinary Shares purchasable hereunder (after giving effect to the cashless exercise), the undersigned requests that a new Warrant Certificate representing the remaining balance of such Ordinary Shares be registered in the name of, whose address is and that such Warrant Certificate be delivered to, whose address is.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[To be included in any Election to Purchase of a holder who has provided the notice set forth in </w:t>
      </w:r>
      <w:r>
        <w:rPr>
          <w:rFonts w:ascii="Times New Roman" w:cs="Times New Roman" w:eastAsia="Times New Roman" w:hAnsi="Times New Roman"/>
          <w:sz w:val="18"/>
          <w:szCs w:val="18"/>
          <w:u w:val="single" w:color="auto"/>
          <w:color w:val="auto"/>
        </w:rPr>
        <w:t>subsection 3.3.5</w:t>
      </w:r>
      <w:r>
        <w:rPr>
          <w:rFonts w:ascii="Times New Roman" w:cs="Times New Roman" w:eastAsia="Times New Roman" w:hAnsi="Times New Roman"/>
          <w:sz w:val="18"/>
          <w:szCs w:val="18"/>
          <w:color w:val="auto"/>
        </w:rPr>
        <w:t xml:space="preserve"> of the Warrant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By signing this Election to Purchase, the undersigned hereby certifies that after giving effect to such exercise, the undersigned (together with such person’s affiliates) or any “</w:t>
      </w:r>
      <w:r>
        <w:rPr>
          <w:rFonts w:ascii="Times New Roman" w:cs="Times New Roman" w:eastAsia="Times New Roman" w:hAnsi="Times New Roman"/>
          <w:sz w:val="17"/>
          <w:szCs w:val="17"/>
          <w:b w:val="1"/>
          <w:bCs w:val="1"/>
          <w:i w:val="1"/>
          <w:iCs w:val="1"/>
          <w:u w:val="single" w:color="auto"/>
          <w:color w:val="auto"/>
        </w:rPr>
        <w:t>group</w:t>
      </w:r>
      <w:r>
        <w:rPr>
          <w:rFonts w:ascii="Times New Roman" w:cs="Times New Roman" w:eastAsia="Times New Roman" w:hAnsi="Times New Roman"/>
          <w:sz w:val="17"/>
          <w:szCs w:val="17"/>
          <w:color w:val="auto"/>
        </w:rPr>
        <w:t xml:space="preserve">” of which holder or its affiliates is a member, would not beneficially own in excess of the Maximum Percentage of the Ordinary Shares outstanding immediately after giving effect to such exercise as determined in accordance with </w:t>
      </w:r>
      <w:r>
        <w:rPr>
          <w:rFonts w:ascii="Times New Roman" w:cs="Times New Roman" w:eastAsia="Times New Roman" w:hAnsi="Times New Roman"/>
          <w:sz w:val="17"/>
          <w:szCs w:val="17"/>
          <w:u w:val="single" w:color="auto"/>
          <w:color w:val="auto"/>
        </w:rPr>
        <w:t>subsection 3.3.5</w:t>
      </w:r>
      <w:r>
        <w:rPr>
          <w:rFonts w:ascii="Times New Roman" w:cs="Times New Roman" w:eastAsia="Times New Roman" w:hAnsi="Times New Roman"/>
          <w:sz w:val="17"/>
          <w:szCs w:val="17"/>
          <w:color w:val="auto"/>
        </w:rPr>
        <w:t xml:space="preserve"> of the Warrant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spacing w:after="0"/>
        <w:tabs>
          <w:tab w:leader="none" w:pos="1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5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2143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SPONSOR SUPPORT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Second Amendment to Sponsor Support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May 7, 2026, is entered into by and among VERAXA Biotech AG, a Swiss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Voyager Acquisition Corp., an exempted company limited by shares incorporated under the laws of the Cayman Islands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and Voyager Acquisition Sponsor Holdco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Except as otherwise indicated, capitalized terms used but not defined herein shall have the meanings set forth in the Business Combination Agreement (as defined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SPAC and Oliver Baumann, solely in his capacity as representative for the Company Shareholders (as therein defined) are parties to that certain Business Combination Agreement dated April 22, 2025, as amended by that certain Amendment to Business Combination Agreement dated October 18, 2025, and as further amended by that certain Second Amendment to Business Combination Agreement, dated as of the date hereof (as so amended,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SPAC and Sponsor are party to that certain Sponsor Support Agreement, dated as of April 22, 2025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as amended by that certain First Amendment to Sponsor Support Agreement, dated as of February 2, 2026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and, together with the Original Sponsor Support Agreement,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Section 9(b) of the Original Sponsor Support Agreement incorporates by reference into the Sponsor Support Agreement the provisions of Article XII of the Business Combination Agreement, including Section 12.13 that provides that the agreement may be amended or modified in whole or in part prior to the Initial Merger Effective Time only by a duly authorized agreement in writing executed by each of the parties thereto;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First Amendment, Sponsor agreed to forfeit 200,000 SPAC Class B Ordinary Shares and 400,000 SPAC Warrants, and PubCo agreed to issue an equal number of PubCo Ordinary Shares and PubCo Warrants, respectively, to the Company Shareholders;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SPAC and Sponsor now desire to amend the Sponsor Support Agreement to (i) increase the number of SPAC Warrants to be forfeited by Sponsor from 400,000 to 878,261, and (ii) provide that PubCo shall issue the corresponding PubCo Ordinary Shares and PubCo Warrants to PubCo, rather than to the Company Shareholders;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SPAC and Sponsor desire to amend the Sponsor Support Agreement as set forth in this Amendment.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and agreements set forth in this Amendment, and intending to be legally bound hereby, the Company, SPAC and Sponsor agree as follows:</w:t>
      </w:r>
    </w:p>
    <w:p>
      <w:pPr>
        <w:spacing w:after="0" w:line="162" w:lineRule="exact"/>
        <w:rPr>
          <w:sz w:val="20"/>
          <w:szCs w:val="20"/>
          <w:color w:val="auto"/>
        </w:rPr>
      </w:pPr>
    </w:p>
    <w:p>
      <w:pPr>
        <w:ind w:firstLine="656"/>
        <w:spacing w:after="0" w:line="282" w:lineRule="auto"/>
        <w:tabs>
          <w:tab w:leader="none" w:pos="8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Recitals</w:t>
      </w:r>
      <w:r>
        <w:rPr>
          <w:rFonts w:ascii="Times New Roman" w:cs="Times New Roman" w:eastAsia="Times New Roman" w:hAnsi="Times New Roman"/>
          <w:sz w:val="18"/>
          <w:szCs w:val="18"/>
          <w:color w:val="auto"/>
        </w:rPr>
        <w:t>. The third recital of the Sponsor Support Agreement (as added by Section 1 of the First Amendment) is hereby deleted in its entirety and replaced with the following:</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“WHEREAS, in order to induce the Company to consummate the Transactions, Sponsor has agreed to forfeit 200,000 SPAC Class B Ordinary Shares and 878,261 SPAC Warrants, and PubCo will issue an equal number of PubCo Ordinary Shares and PubCo Warrants, respectively, to 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ind w:right="20" w:firstLine="656"/>
        <w:spacing w:after="0" w:line="282" w:lineRule="auto"/>
        <w:tabs>
          <w:tab w:leader="none" w:pos="8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4</w:t>
      </w:r>
      <w:r>
        <w:rPr>
          <w:rFonts w:ascii="Times New Roman" w:cs="Times New Roman" w:eastAsia="Times New Roman" w:hAnsi="Times New Roman"/>
          <w:sz w:val="18"/>
          <w:szCs w:val="18"/>
          <w:color w:val="auto"/>
        </w:rPr>
        <w:t>. Section 4(g) of the Sponsor Support Agreement (as added by Section 3 of the First Amendment) is hereby deleted in its entirety and replaced with the following:</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Forfeited SPAC Class B Ordinary Share and SPAC Warrant Consideration</w:t>
      </w:r>
      <w:r>
        <w:rPr>
          <w:rFonts w:ascii="Times New Roman" w:cs="Times New Roman" w:eastAsia="Times New Roman" w:hAnsi="Times New Roman"/>
          <w:sz w:val="18"/>
          <w:szCs w:val="18"/>
          <w:color w:val="auto"/>
        </w:rPr>
        <w:t>. At the Closing and (a) immediately prior to the Initial Merger Effective Time, Sponsor shall forfeit, without any consideration, 200,000 SPAC Class B Ordinary Shares and 878,261 SPAC Warrants, and (b) at the Acquisition Effective Time, PubCo shall issue 200,000 PubCo Ordinary Shares and 878,261 PubCo Warrants to PubCo.”</w:t>
      </w:r>
    </w:p>
    <w:p>
      <w:pPr>
        <w:spacing w:after="0" w:line="176" w:lineRule="exact"/>
        <w:rPr>
          <w:sz w:val="20"/>
          <w:szCs w:val="20"/>
          <w:color w:val="auto"/>
        </w:rPr>
      </w:pPr>
    </w:p>
    <w:p>
      <w:pPr>
        <w:jc w:val="both"/>
        <w:ind w:firstLine="656"/>
        <w:spacing w:after="0" w:line="261" w:lineRule="auto"/>
        <w:tabs>
          <w:tab w:leader="none" w:pos="82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Amendment</w:t>
      </w:r>
      <w:r>
        <w:rPr>
          <w:rFonts w:ascii="Times New Roman" w:cs="Times New Roman" w:eastAsia="Times New Roman" w:hAnsi="Times New Roman"/>
          <w:sz w:val="18"/>
          <w:szCs w:val="18"/>
          <w:color w:val="auto"/>
        </w:rPr>
        <w:t>. Except as expressly and specifically set forth herein, the Sponsor Support Agreement is not otherwise being amended, modified or supplemented and all terms and provisions of the Sponsor Support Agreement are and shall remain in full force and effect in accordance with its terms and nothing contained herein or in any other communication prior to the execution and delivery hereof shall be construed as a waiver by, or consent from, any party hereto of any condition, any covenant or other provision of the Sponsor Support Agreement.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Trial by Jury</w:t>
      </w:r>
      <w:r>
        <w:rPr>
          <w:rFonts w:ascii="Times New Roman" w:cs="Times New Roman" w:eastAsia="Times New Roman" w:hAnsi="Times New Roman"/>
          <w:sz w:val="18"/>
          <w:szCs w:val="18"/>
          <w:color w:val="auto"/>
        </w:rPr>
        <w:t xml:space="preserve">. The provisions of Article XII of the Business Combination Agreement are hereby incorporated by reference as if set forth in full herein and shall apply hereto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6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 Counterparts</w:t>
      </w:r>
      <w:r>
        <w:rPr>
          <w:rFonts w:ascii="Times New Roman" w:cs="Times New Roman" w:eastAsia="Times New Roman" w:hAnsi="Times New Roman"/>
          <w:sz w:val="18"/>
          <w:szCs w:val="18"/>
          <w:color w:val="auto"/>
        </w:rPr>
        <w:t>. The captions in this Amendment are for convenience only and shall not be considered a part of or affect the construction or interpretation of any provision of this Amendment. This Amendment may be executed in two or more counterparts, each of which shall be deemed an original, but all of which together shall constitute one and the same instrument.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17"/>
          <w:szCs w:val="17"/>
          <w:color w:val="auto"/>
        </w:rPr>
        <w:t>IN WITNESS WHEREOF, the Company, SPAC and Sponsor have caused this Amendment to be executed and delivered as of the date first written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VOYAGER ACQUISITION CORP.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Adeel Rouf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Adeel Rouf</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VOYAGER ACQUISITION SPONSOR HOLDCO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Adeel Rouf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Adeel Rouf</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 Antz</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Christoph Antz</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Second Amendment to Sponsor Support Agreement]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w:t>
      </w:r>
      <w:r>
        <w:rPr>
          <w:rFonts w:ascii="Times New Roman" w:cs="Times New Roman" w:eastAsia="Times New Roman" w:hAnsi="Times New Roman"/>
          <w:sz w:val="12"/>
          <w:szCs w:val="12"/>
          <w:b w:val="1"/>
          <w:bCs w:val="1"/>
          <w:color w:val="auto"/>
        </w:rPr>
        <w:t>iotech</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w:t>
      </w:r>
      <w:r>
        <w:rPr>
          <w:rFonts w:ascii="Times New Roman" w:cs="Times New Roman" w:eastAsia="Times New Roman" w:hAnsi="Times New Roman"/>
          <w:sz w:val="18"/>
          <w:szCs w:val="18"/>
          <w:b w:val="1"/>
          <w:bCs w:val="1"/>
          <w:color w:val="auto"/>
        </w:rPr>
        <w:t xml:space="preserve"> AG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Note due 2027</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AND SALE OF NEITHER THE SECURITIES REPRESENTED BY THIS CERTIFICATE NOR THE SECURITIES THAT MAY BE ISSUABLE PURSUANT TO THIS NOTE HAVE BEEN REGISTERED UNDER THE SECURITIES ACT OF 1933, AS AMENDED (THE “SECURITIES ACT”), OR APPLICABLE STATE SECURITIES LAWS. UNTIL THE DATE THAT IS ONE (1) YEAR AFTER THE ISSUE DATE (AS DEFINED ON THE REVERSE OF THIS NOTE),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VERAXA B</w:t>
      </w:r>
      <w:r>
        <w:rPr>
          <w:rFonts w:ascii="Times New Roman" w:cs="Times New Roman" w:eastAsia="Times New Roman" w:hAnsi="Times New Roman"/>
          <w:sz w:val="12"/>
          <w:szCs w:val="12"/>
          <w:b w:val="1"/>
          <w:bCs w:val="1"/>
          <w:color w:val="auto"/>
        </w:rPr>
        <w:t>iotech</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w:t>
      </w:r>
      <w:r>
        <w:rPr>
          <w:rFonts w:ascii="Times New Roman" w:cs="Times New Roman" w:eastAsia="Times New Roman" w:hAnsi="Times New Roman"/>
          <w:sz w:val="18"/>
          <w:szCs w:val="18"/>
          <w:b w:val="1"/>
          <w:bCs w:val="1"/>
          <w:color w:val="auto"/>
        </w:rPr>
        <w:t xml:space="preserve"> AG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Note due 2027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A-1</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VERAXA Biotech Holding AG, a public limited company organized under the Laws of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value received, promises to pay to High Trail Special Situations II LLC (the “</w:t>
      </w:r>
      <w:r>
        <w:rPr>
          <w:rFonts w:ascii="Times New Roman" w:cs="Times New Roman" w:eastAsia="Times New Roman" w:hAnsi="Times New Roman"/>
          <w:sz w:val="18"/>
          <w:szCs w:val="18"/>
          <w:b w:val="1"/>
          <w:bCs w:val="1"/>
          <w:color w:val="auto"/>
        </w:rPr>
        <w:t>Initial Holder</w:t>
      </w:r>
      <w:r>
        <w:rPr>
          <w:rFonts w:ascii="Times New Roman" w:cs="Times New Roman" w:eastAsia="Times New Roman" w:hAnsi="Times New Roman"/>
          <w:sz w:val="18"/>
          <w:szCs w:val="18"/>
          <w:color w:val="auto"/>
        </w:rPr>
        <w:t>”), or its registered assigns, the principal sum of twenty seven million five hundred thousand dollars ($27,500,000) (such principal sum,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on November 15, 2027 as provided in and subject to the other provisions of this Note, including the earlier redemption, repurchase or conversion of this Note.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references herein to “dollars” or “$” are to U.S. dollars.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VERAXA Biotech Holding AG has caused this instrument to be duly executed as of the date set forth below.</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VERAXA B</w:t>
      </w:r>
      <w:r>
        <w:rPr>
          <w:rFonts w:ascii="Times New Roman" w:cs="Times New Roman" w:eastAsia="Times New Roman" w:hAnsi="Times New Roman"/>
          <w:sz w:val="12"/>
          <w:szCs w:val="12"/>
          <w:color w:val="auto"/>
        </w:rPr>
        <w:t>iotech</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olding</w:t>
      </w:r>
      <w:r>
        <w:rPr>
          <w:rFonts w:ascii="Times New Roman" w:cs="Times New Roman" w:eastAsia="Times New Roman" w:hAnsi="Times New Roman"/>
          <w:sz w:val="18"/>
          <w:szCs w:val="18"/>
          <w:color w:val="auto"/>
        </w:rPr>
        <w:t xml:space="preserve"> AG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(now known as Veraxa Biotech AG following consummation of Business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Combination)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Oliver Baumann</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Oliver Baumann</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Manager</w:t>
            </w:r>
          </w:p>
        </w:tc>
      </w:tr>
      <w:tr>
        <w:trPr>
          <w:trHeight w:val="432"/>
        </w:trPr>
        <w:tc>
          <w:tcPr>
            <w:tcW w:w="354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 Antz</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Christoph Antz</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Senior Secured Note due 2027, Certificate No.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VERAXA B</w:t>
      </w:r>
      <w:r>
        <w:rPr>
          <w:rFonts w:ascii="Times New Roman" w:cs="Times New Roman" w:eastAsia="Times New Roman" w:hAnsi="Times New Roman"/>
          <w:sz w:val="12"/>
          <w:szCs w:val="12"/>
          <w:b w:val="1"/>
          <w:bCs w:val="1"/>
          <w:color w:val="auto"/>
        </w:rPr>
        <w:t>iotech</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w:t>
      </w:r>
      <w:r>
        <w:rPr>
          <w:rFonts w:ascii="Times New Roman" w:cs="Times New Roman" w:eastAsia="Times New Roman" w:hAnsi="Times New Roman"/>
          <w:sz w:val="18"/>
          <w:szCs w:val="18"/>
          <w:b w:val="1"/>
          <w:bCs w:val="1"/>
          <w:color w:val="auto"/>
        </w:rPr>
        <w:t xml:space="preserve"> AG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Note due 2027</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collectively with any Note issued in exchange therefor or in substitution thereof,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 issued by VERAXA Biotech Holding AG, a public limited company organized under the Laws of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designated as its “Senior Secured Notes due 2027.”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(within the meaning of Section 13(d)(3) of the Exchange Act) together with the Holder or any of the foregoing and (iv) any other Persons whose beneficial ownership of the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the Notes, a Principal Amount thereof equal to $1,000 or any integral multiple of $1,000 in excess thereof, or, if such Principal Amount then-outstanding is less than $1,000, then such outstanding Principal Amount.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means, as of any date of determination, (A) the sum of (i) the Company’s Cash and Cash Equivalents and (ii) any Cash paid by the Company to the Holder pursuant to this Note during the Cash Burn Period less (B) any Cash raised from any financings or series of related financings involving the Holder or otherwise during the Cash Burn Period, including for the avoidance of doubt, from a sale and leaseback transaction or the sale and issuance of the Company’s Capital Stock, Convertible Securities, Equity-Linked Securities or Indebtedness (including, for the avoidance of doubt, Cash actually received in connection with the exercise or settlement of any Convertible Securities or Equity-Linked Securities).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a Saturday, a Sunday or any day on which commercial banks in The City of New York are authorized or required by law or executive order to close or be 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with respect to any Person, any leasing or similar arrangement conveying the right to use any property, whether real or personal property, or a combination thereof, by that Person as lessee that, in conformity with GAAP, is required to be accounted for as a capital lease on the balance sheet of such Person.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(including, for the avoidance of doubt, partnership interests, limited partnership interests or other membership interests) in, rights to purchase, warrants or options for, participations in, or other equivalents of, in each case however designated, the equity of such Person, but excluding any debt securities convertible into such equity.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all cash and liquid funds.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Burn Measurement Date</w:t>
      </w:r>
      <w:r>
        <w:rPr>
          <w:rFonts w:ascii="Times New Roman" w:cs="Times New Roman" w:eastAsia="Times New Roman" w:hAnsi="Times New Roman"/>
          <w:sz w:val="18"/>
          <w:szCs w:val="18"/>
          <w:color w:val="auto"/>
        </w:rPr>
        <w:t>” means the last calendar day of each calendar month beginning with the calendar month ending on September 30, 2026; provided, however, that the last calendar day of any calendar month in which the Company’s unrestricted, unencumbered Cash and Cash Equivalents shall equal or exceed seventy five million dollars ($75,000,000) on each calendar day during the three (3) month period ending on and including the last calendar day of such calendar month shall not be a Cash Burn Measurement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Burn Period</w:t>
      </w:r>
      <w:r>
        <w:rPr>
          <w:rFonts w:ascii="Times New Roman" w:cs="Times New Roman" w:eastAsia="Times New Roman" w:hAnsi="Times New Roman"/>
          <w:sz w:val="18"/>
          <w:szCs w:val="18"/>
          <w:color w:val="auto"/>
        </w:rPr>
        <w:t>” means the three (3) calendar month period ending on any Cash Burn Measurement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Burn Reference Date</w:t>
      </w:r>
      <w:r>
        <w:rPr>
          <w:rFonts w:ascii="Times New Roman" w:cs="Times New Roman" w:eastAsia="Times New Roman" w:hAnsi="Times New Roman"/>
          <w:sz w:val="18"/>
          <w:szCs w:val="18"/>
          <w:color w:val="auto"/>
        </w:rPr>
        <w:t>” means the last calendar day of the calendar month immediately preceding the first calendar day of the applicable Cash Burn Period.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as of any date of determination, any of the following: (A) marketable securities (i) issued or directly and unconditionally guaranteed as to interest and principal by the United States Government, or (ii) issued by any agency of the United States Government, the obligations of which are backed by the full faith and credit of the United States, in each case maturing within one (1) year after such date; (B)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Standard &amp; Poor’s Corporation or at least P-1 from Moody’s Investors Service; (C) commercial paper maturing no more than one (1) year from the date of creation thereof and having, at the time of the acquisition thereof, a rating of at least A-1 from Standard &amp; Poor’s Corporation or at least P-1 from Moody’s Investors Service; (D) certificates of deposit or bankers’ acceptances maturing within one (1) year after such date and issued or accepted by any commercial bank organized under the laws of the United States or any state thereof, or the District of Columbia that (i) is at least “adequately capitalized” (as defined in the regulations of its primary federal banking regulator), and (ii) has Tier 1 capital (as defined in such regulations) of not less than $5,000,000,000; and (E) shares of any money market mutual fund that (i) has substantially all of its assets invested continuously in the types of investments referred to in clauses (A) and (B) above, (ii) has net assets of not less than $5,000,000,000, and (iii) has the highest rating obtainable from either Standard &amp; Poor’s Corporation or Moody’s Investors Service.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Sweep Amount</w:t>
      </w:r>
      <w:r>
        <w:rPr>
          <w:rFonts w:ascii="Times New Roman" w:cs="Times New Roman" w:eastAsia="Times New Roman" w:hAnsi="Times New Roman"/>
          <w:sz w:val="18"/>
          <w:szCs w:val="18"/>
          <w:color w:val="auto"/>
        </w:rPr>
        <w:t>” means, with respect to any Cash Sweep Financing, twenty percent (20%) of the gross proceeds from such financing.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Sweep Certification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Sweep Financing</w:t>
      </w:r>
      <w:r>
        <w:rPr>
          <w:rFonts w:ascii="Times New Roman" w:cs="Times New Roman" w:eastAsia="Times New Roman" w:hAnsi="Times New Roman"/>
          <w:sz w:val="18"/>
          <w:szCs w:val="18"/>
          <w:color w:val="auto"/>
        </w:rPr>
        <w:t>” means any Equity Issuance.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Sweep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Sweep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(i) all “Collateral”, “Pledges” or similar term (howsoever defined) under any Security Agreement, (ii) all assets, property (whether real, personal, or mixed, tangible or intangible), rights, and interests of every kind and description that are now or hereafter pledged, assigned, charged, hypothecated, or otherwise granted as security or collateral to or for the benefit of the Holder, the Collateral Agent, or any Other Holder pursuant to, or in connection with, any Security Agreement, and (iii) all proceeds, products, accessions, rents, profits, income, benefits, substitutions, and replacements of any of the foregoing, in each case whether now owned or existing or hereafter acquired or arising and wherever located.</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means HBC Collateral Agent LLC in its capacity as collateral agent for the Holder and each Other Holder, together with any successor thereto in such capacity.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4(E)</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Redemption Price</w:t>
      </w:r>
      <w:r>
        <w:rPr>
          <w:rFonts w:ascii="Times New Roman" w:cs="Times New Roman" w:eastAsia="Times New Roman" w:hAnsi="Times New Roman"/>
          <w:sz w:val="18"/>
          <w:szCs w:val="18"/>
          <w:color w:val="auto"/>
        </w:rPr>
        <w:t>” means a cash amount equal to the then outstanding Principal Amount of this Note being redeemed pursuant to the applicable Company Redemption, plus accrued and unpaid interest on this Note.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Conditional Capital Amendment Effective Date</w:t>
      </w:r>
      <w:r>
        <w:rPr>
          <w:rFonts w:ascii="Times New Roman" w:cs="Times New Roman" w:eastAsia="Times New Roman" w:hAnsi="Times New Roman"/>
          <w:sz w:val="18"/>
          <w:szCs w:val="18"/>
          <w:color w:val="auto"/>
        </w:rPr>
        <w:t>” means the date the Conditional Capital Amendment (as defined in the Securities Purchase Agreement) is registered in the commercial register of Switzerland.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applied to any Person, any direct or indirect liability, contingent or otherwise, of that Person with respect to</w:t>
      </w:r>
    </w:p>
    <w:p>
      <w:pPr>
        <w:spacing w:after="0" w:line="31" w:lineRule="exact"/>
        <w:rPr>
          <w:sz w:val="20"/>
          <w:szCs w:val="20"/>
          <w:color w:val="auto"/>
        </w:rPr>
      </w:pPr>
    </w:p>
    <w:p>
      <w:pPr>
        <w:jc w:val="both"/>
        <w:ind w:firstLine="8"/>
        <w:spacing w:after="0" w:line="251" w:lineRule="auto"/>
        <w:tabs>
          <w:tab w:leader="none" w:pos="33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of another Person, including any such obligation directly or indirectly guaranteed, endorsed, co-made or discounted or sold with recourse by that Person, or in respect of which that Person is otherwise directly or indirectly liable; (B) any obligations with respect to undrawn letters of credit, corporate credit cards or merchant services issued for the account of that Person; and (C) all obligations arising under any interest rate, currency or commodity swap agreement, interest rate cap agreement, interest rate collar agreement, or other agreement or arrangement designed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Agreements</w:t>
      </w:r>
      <w:r>
        <w:rPr>
          <w:rFonts w:ascii="Times New Roman" w:cs="Times New Roman" w:eastAsia="Times New Roman" w:hAnsi="Times New Roman"/>
          <w:sz w:val="18"/>
          <w:szCs w:val="18"/>
          <w:color w:val="auto"/>
        </w:rPr>
        <w:t>” means (i) that certain Swiss law governed Bank Account Pledge Agreement, dated as of the Issue Date, between the Company, as pledgor, and the Collateral Agent as collateral agent and pledgee, acting for itself and as direct representative (</w:t>
      </w:r>
      <w:r>
        <w:rPr>
          <w:rFonts w:ascii="Times New Roman" w:cs="Times New Roman" w:eastAsia="Times New Roman" w:hAnsi="Times New Roman"/>
          <w:sz w:val="18"/>
          <w:szCs w:val="18"/>
          <w:i w:val="1"/>
          <w:iCs w:val="1"/>
          <w:color w:val="auto"/>
        </w:rPr>
        <w:t>direkter Stellvertreter</w:t>
      </w:r>
      <w:r>
        <w:rPr>
          <w:rFonts w:ascii="Times New Roman" w:cs="Times New Roman" w:eastAsia="Times New Roman" w:hAnsi="Times New Roman"/>
          <w:sz w:val="18"/>
          <w:szCs w:val="18"/>
          <w:color w:val="auto"/>
        </w:rPr>
        <w:t>) in the name and for the account of all other Secured Parties, and the Holders as Secured Parties (unless otherwise defined herein, each term as defined therein),</w:t>
      </w:r>
    </w:p>
    <w:p>
      <w:pPr>
        <w:jc w:val="both"/>
        <w:ind w:firstLine="8"/>
        <w:spacing w:after="0" w:line="255" w:lineRule="auto"/>
        <w:tabs>
          <w:tab w:leader="none" w:pos="2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Account Pledge Agreement, dated as of the Issue Date, between Veraxa BioTech GmbH and the Collateral Agent and (iii) any other control agreement over an account substantially similar to the agreements described in clause (i) or (ii) or otherwise in form and substance satisfactory to the Collateral Agent.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the first Business Day on which the requirements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 xml:space="preserve"> to convert this Note are satisfied.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7(D)(iii)</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Capital Stock or other security (other than Options) that is at any time and under any circumstances, directly or indirectly, convertible into, exercisable or exchangeable for, or which otherwise entitles the holder thereof to acquire, any Ordinary Shares.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 License</w:t>
      </w:r>
      <w:r>
        <w:rPr>
          <w:rFonts w:ascii="Times New Roman" w:cs="Times New Roman" w:eastAsia="Times New Roman" w:hAnsi="Times New Roman"/>
          <w:sz w:val="18"/>
          <w:szCs w:val="18"/>
          <w:color w:val="auto"/>
        </w:rPr>
        <w:t>” means any written agreement granting any right to use any Copyright or Copyright registration, now owned or hereafter acquired by the Company or in which the Company now holds or hereafter acquires any interest.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all copyrights, whether registered or unregistered, held pursuant to the laws of the United States, any State thereof, or of any other country.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Covering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7(D)(iv)(1)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Ordinary Shares as reported by Bloomberg and displayed under the heading “Bloomberg VWAP” on Bloomberg page “VRXA US &lt;EQUITY&gt; VAP” (or its equivalent successor ticker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Ordinary Share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with respect to any Person, any Capital Stock that by its terms (or by the terms of any security into which it is convertible or for which it is exchangeable at the option of the holder) or upon the happening of any event:</w:t>
      </w:r>
    </w:p>
    <w:p>
      <w:pPr>
        <w:spacing w:after="0" w:line="159" w:lineRule="exact"/>
        <w:rPr>
          <w:sz w:val="20"/>
          <w:szCs w:val="20"/>
          <w:color w:val="auto"/>
        </w:rPr>
      </w:pPr>
    </w:p>
    <w:p>
      <w:pPr>
        <w:ind w:left="1600" w:hanging="296"/>
        <w:spacing w:after="0"/>
        <w:tabs>
          <w:tab w:leader="none" w:pos="16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pursuant to a sinking fund obligation or otherwise;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for Indebtedness or Disqualified Stock (excluding Capital Stock convertible or exchangeable solely at the option of the Company or a Subsidiary of the Company; provided that any such conversion or exchange will be deemed an incurrence of Indebtedness or Disqualified Stock, as applicable); or</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at the option of the holder thereof, in whole or in part,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of clauses (A), (B) and (C), at any point prior to the one hundred eighty-first (181st) day after the Maturity Date.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Exchange</w:t>
      </w:r>
      <w:r>
        <w:rPr>
          <w:rFonts w:ascii="Times New Roman" w:cs="Times New Roman" w:eastAsia="Times New Roman" w:hAnsi="Times New Roman"/>
          <w:sz w:val="18"/>
          <w:szCs w:val="18"/>
          <w:color w:val="auto"/>
        </w:rPr>
        <w:t>” means any of The New York Stock Exchange, The NYSE American LLC, The Nasdaq Stock Market, The Nasdaq Capital Market, The Nasdaq Global Market or The Nasdaq Global Select Market (or any of their respective successors).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w:t>
      </w:r>
      <w:r>
        <w:rPr>
          <w:rFonts w:ascii="Times New Roman" w:cs="Times New Roman" w:eastAsia="Times New Roman" w:hAnsi="Times New Roman"/>
          <w:sz w:val="18"/>
          <w:szCs w:val="18"/>
          <w:color w:val="auto"/>
        </w:rPr>
        <w:t xml:space="preserve">” will be deemed to be satisfied as of any date if all of the following conditions are satisfied as of such date and on each of the twenty (20) previous Trading Days: (A) the shares issuable pursuant to this Note are Freely Tradable; (B) the Holder is not in possession of any material non-public information; (C) the issuance of such shares will not be limited by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 xml:space="preserve">; (D) such shares will satisfy </w:t>
      </w:r>
      <w:r>
        <w:rPr>
          <w:rFonts w:ascii="Times New Roman" w:cs="Times New Roman" w:eastAsia="Times New Roman" w:hAnsi="Times New Roman"/>
          <w:sz w:val="18"/>
          <w:szCs w:val="18"/>
          <w:b w:val="1"/>
          <w:bCs w:val="1"/>
          <w:color w:val="auto"/>
        </w:rPr>
        <w:t>Section 7(E)(i)</w:t>
      </w:r>
      <w:r>
        <w:rPr>
          <w:rFonts w:ascii="Times New Roman" w:cs="Times New Roman" w:eastAsia="Times New Roman" w:hAnsi="Times New Roman"/>
          <w:sz w:val="18"/>
          <w:szCs w:val="18"/>
          <w:color w:val="auto"/>
        </w:rPr>
        <w:t>; (E) the Daily VWAP per Ordinary Share is not less than five dollars ($5.00); (F) the daily dollar trading volume of the Ordinary Shares as reported by Bloomberg and displayed under the heading “Bloomberg Value Traded” on Bloomberg page “VRXA US &lt;EQUITY&gt; VAP” (or its equivalent successor ticker or, if such page is not available, its equivalent successor page) in respect of the period from the scheduled open of trading until the scheduled close of trading of the primary trading session on such Trading Day is not less than two million dollars ($2,000,000); (G) no delisting or suspension by the principal, in terms of volume, Eligible Exchange on which the Company is then listed or traded has been threatened (with a reasonable prospect of delisting or suspension occurring after giving effect to all applicable notice, appeal, compliance and hearing periods) or is reasonably likely to occur or pending as evidenced by</w:t>
      </w:r>
    </w:p>
    <w:p>
      <w:pPr>
        <w:spacing w:after="0" w:line="3" w:lineRule="exact"/>
        <w:rPr>
          <w:sz w:val="20"/>
          <w:szCs w:val="20"/>
          <w:color w:val="auto"/>
        </w:rPr>
      </w:pPr>
    </w:p>
    <w:p>
      <w:pPr>
        <w:jc w:val="both"/>
        <w:ind w:firstLine="8"/>
        <w:spacing w:after="0" w:line="251" w:lineRule="auto"/>
        <w:tabs>
          <w:tab w:leader="none" w:pos="26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writing by such Eligible Exchange or (y) the Company falling below the minimum listing maintenance requirements, if applicable, of such Eligible Exchange; (H) the Company shall be in a position to deliver the number of Ordinary Shares to be delivered as Conversion Consideration in accordance with </w:t>
      </w:r>
      <w:r>
        <w:rPr>
          <w:rFonts w:ascii="Times New Roman" w:cs="Times New Roman" w:eastAsia="Times New Roman" w:hAnsi="Times New Roman"/>
          <w:sz w:val="18"/>
          <w:szCs w:val="18"/>
          <w:b w:val="1"/>
          <w:bCs w:val="1"/>
          <w:color w:val="auto"/>
        </w:rPr>
        <w:t>Section 7(D)(iii)</w:t>
      </w:r>
      <w:r>
        <w:rPr>
          <w:rFonts w:ascii="Times New Roman" w:cs="Times New Roman" w:eastAsia="Times New Roman" w:hAnsi="Times New Roman"/>
          <w:sz w:val="18"/>
          <w:szCs w:val="18"/>
          <w:color w:val="auto"/>
        </w:rPr>
        <w:t xml:space="preserve"> (including having sufficient authorized but unissued shares under the Company’s conditional capital), (I) the Conditional Capital Amendment Effective Date shall have occurred; (J) the delivery of the number of Ordinary Shares to be delivered as Conversion Consideration in accordance with </w:t>
      </w:r>
      <w:r>
        <w:rPr>
          <w:rFonts w:ascii="Times New Roman" w:cs="Times New Roman" w:eastAsia="Times New Roman" w:hAnsi="Times New Roman"/>
          <w:sz w:val="18"/>
          <w:szCs w:val="18"/>
          <w:b w:val="1"/>
          <w:bCs w:val="1"/>
          <w:color w:val="auto"/>
        </w:rPr>
        <w:t>Section 7(D)(iii)</w:t>
      </w:r>
      <w:r>
        <w:rPr>
          <w:rFonts w:ascii="Times New Roman" w:cs="Times New Roman" w:eastAsia="Times New Roman" w:hAnsi="Times New Roman"/>
          <w:sz w:val="18"/>
          <w:szCs w:val="18"/>
          <w:color w:val="auto"/>
        </w:rPr>
        <w:t xml:space="preserve"> shall not cause the number of shares registered for resale pursuant to the Resale Registration Statement (as defined in the Securities Purchase Agreement), after giving effect to any post-effective amendments thereto, to be less than one hundred percent (100%) of the maximum number of Ordinary Shares exercisable pursuant to the Warrants; and (K) no Event of Default will have occurred that has not been waived and no Default will have occurred and be continuing which has not been waived.</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means, with respect to any Person, any and all shares, interests, participations or other equivalents, including preferred stock or membership interests (however designated, whether voting or non-voting), of equity of such Person, including, if such Person is a partnership, partnership interests (whether general or limited) and including, without limitation, any “equity security” (as that term is defined under Rule 405 promulgated under the Securities Act), and any other interest or participation that confers on a Person the right to receive a share of the profits and losses of, or distributions of assets of, such partnership.</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means (a) any issuance or sale by the Company or any of its Subsidiaries of any Equity Interests (including any Equity Interests issued upon exercise or conversion of any Equity Rights, the issuance of any Equity Interests pursuant to any “at-the-market” offering (within the meaning of Rule 415(a)(4) of the Securities Act) and the issuance of any Equity Interests pursuant to the ELOC Financing (as defined in the Securities Purchase Agreement)) or any Equity Rights, or (b) the receipt by the Company or any of its Subsidiaries of any capital contribution (whether or not evidenced by any Equity Interest issued by the recipient of such contribution), in each case for bona fide capital-raising purposes and other than (i) any issuance of Equity Interests upon the exercise of any Equity Rights outstanding as of the date hereof provided, that such issuance is made pursuant to the terms of such Equity Rights in effect on the date hereof and such Equity Rights are not amended to increase the number of such Equity Interests or to decrease the exercise price, exchange price or conversion price of Equity Rights, (ii) Equity Interests issuable pursuant to an Approved Stock Plan (as defined in the Securities Purchase Agreement) or upon the exercise of any Equity Rights or upon the lapse of forfeiture restrictions on awards made pursuant to an Approved Stock Plan (including Equity Interests withheld by the Company for the purpose of paying on behalf of the holder thereof the exercise price of Options or for paying taxes due as a result of such exercise or lapse of forfeiture restrictions) or (iii) Ordinary Shares issuable upon the exercise of Options or upon the lapse of forfeiture restrictions on awards made pursuant to, any stock option exchange program of the Company that is approved by the Board of Directors or the compensation committee thereof or the Company’s stockholders, whether now in effect or hereafter implemented.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Equity-Linked Securities</w:t>
      </w:r>
      <w:r>
        <w:rPr>
          <w:rFonts w:ascii="Times New Roman" w:cs="Times New Roman" w:eastAsia="Times New Roman" w:hAnsi="Times New Roman"/>
          <w:sz w:val="18"/>
          <w:szCs w:val="18"/>
          <w:color w:val="auto"/>
        </w:rPr>
        <w:t>” means any rights, obligations, Options or warrants to purchase or otherwise acquire (whether immediately, during specified times, upon the satisfaction of any conditions or otherwise) any Ordinary Shares.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Rights</w:t>
      </w:r>
      <w:r>
        <w:rPr>
          <w:rFonts w:ascii="Times New Roman" w:cs="Times New Roman" w:eastAsia="Times New Roman" w:hAnsi="Times New Roman"/>
          <w:sz w:val="18"/>
          <w:szCs w:val="18"/>
          <w:color w:val="auto"/>
        </w:rPr>
        <w:t>” shall mean, with respect to any Person, any then-outstanding subscriptions, Options, warrants, commitments, preemptive rights, convertible debt, or other equity-linked securities or agreements of any kind for the issuance or sale, of any additional Equity Interests of any class, or partnership or other ownership interests of any type in,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Acceleration Amount</w:t>
      </w:r>
      <w:r>
        <w:rPr>
          <w:rFonts w:ascii="Times New Roman" w:cs="Times New Roman" w:eastAsia="Times New Roman" w:hAnsi="Times New Roman"/>
          <w:sz w:val="18"/>
          <w:szCs w:val="18"/>
          <w:color w:val="auto"/>
        </w:rPr>
        <w:t xml:space="preserve">” means, with respect to the delivery of a notice pursuant to </w:t>
      </w:r>
      <w:r>
        <w:rPr>
          <w:rFonts w:ascii="Times New Roman" w:cs="Times New Roman" w:eastAsia="Times New Roman" w:hAnsi="Times New Roman"/>
          <w:sz w:val="18"/>
          <w:szCs w:val="18"/>
          <w:b w:val="1"/>
          <w:bCs w:val="1"/>
          <w:color w:val="auto"/>
        </w:rPr>
        <w:t>Section 10(B)(ii)</w:t>
      </w:r>
      <w:r>
        <w:rPr>
          <w:rFonts w:ascii="Times New Roman" w:cs="Times New Roman" w:eastAsia="Times New Roman" w:hAnsi="Times New Roman"/>
          <w:sz w:val="18"/>
          <w:szCs w:val="18"/>
          <w:color w:val="auto"/>
        </w:rPr>
        <w:t xml:space="preserve"> declaring this Note to be due and payable immediately on account of an Event of Default, a cash amount equal to one hundred fifteen percent (115%) of the then outstanding Principal Amount of this Note (or such lesser principal amount accelerated pursuant to such notice), plus the accrued and unpaid interest on this Note.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Share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Share Payment Date</w:t>
      </w:r>
      <w:r>
        <w:rPr>
          <w:rFonts w:ascii="Times New Roman" w:cs="Times New Roman" w:eastAsia="Times New Roman" w:hAnsi="Times New Roman"/>
          <w:sz w:val="18"/>
          <w:szCs w:val="18"/>
          <w:color w:val="auto"/>
        </w:rPr>
        <w:t xml:space="preserve">” means any date on which the Holder delivers an Event of Default Share Payment Notice pursuant to </w:t>
      </w:r>
      <w:r>
        <w:rPr>
          <w:rFonts w:ascii="Times New Roman" w:cs="Times New Roman" w:eastAsia="Times New Roman" w:hAnsi="Times New Roman"/>
          <w:sz w:val="18"/>
          <w:szCs w:val="18"/>
          <w:b w:val="1"/>
          <w:bCs w:val="1"/>
          <w:color w:val="auto"/>
        </w:rPr>
        <w:t xml:space="preserve">Section 5(G) </w:t>
      </w:r>
      <w:r>
        <w:rPr>
          <w:rFonts w:ascii="Times New Roman" w:cs="Times New Roman" w:eastAsia="Times New Roman" w:hAnsi="Times New Roman"/>
          <w:sz w:val="18"/>
          <w:szCs w:val="18"/>
          <w:color w:val="auto"/>
        </w:rPr>
        <w: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Share Payment Delivery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Share Payment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Modification Agreement</w:t>
      </w:r>
      <w:r>
        <w:rPr>
          <w:rFonts w:ascii="Times New Roman" w:cs="Times New Roman" w:eastAsia="Times New Roman" w:hAnsi="Times New Roman"/>
          <w:sz w:val="18"/>
          <w:szCs w:val="18"/>
          <w:color w:val="auto"/>
        </w:rPr>
        <w:t>” has the meaning set forth in the Securities Purchase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Freely Tradable</w:t>
      </w:r>
      <w:r>
        <w:rPr>
          <w:rFonts w:ascii="Times New Roman" w:cs="Times New Roman" w:eastAsia="Times New Roman" w:hAnsi="Times New Roman"/>
          <w:sz w:val="18"/>
          <w:szCs w:val="18"/>
          <w:color w:val="auto"/>
        </w:rPr>
        <w:t>” means, with respect to any Ordinary Shares issued or issuable pursuant to this Note, that (A) such shares are (or, when issued, will be) issued by the Company pursuant to an effective registration statement and would not constitute “restricted securities” within the meaning of Rule 144 or would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laws; (B) such shares are (or, when issued, will be) (i) represented by book-entries at DTC and identified therein by an “unrestricted” CUSIP number; (ii) not represented by any certificate that bears a legend referring to transfer restrictions under the Securities Act or other securities laws; and (iii) listed and admitted for trading, without suspension or material limitation on trading, on an Eligible Exchange; and (C) no delisting or suspension by such Eligible Exchange is pending or has been threatened (with a reasonable prospect of delisting occurring after giving effect to all applicable notice, appeal, compliance and hearing periods) or reasonably likely to occur or pending as evidenced by (x) a writing by such Eligible Exchange or (y) the Company falling below the minimum listing maintenance requirements of such Eligible Exchange.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means any of the following events:</w:t>
      </w:r>
    </w:p>
    <w:p>
      <w:pPr>
        <w:spacing w:after="0" w:line="229" w:lineRule="exact"/>
        <w:rPr>
          <w:sz w:val="20"/>
          <w:szCs w:val="20"/>
          <w:color w:val="auto"/>
        </w:rPr>
      </w:pPr>
    </w:p>
    <w:p>
      <w:pPr>
        <w:jc w:val="both"/>
        <w:ind w:firstLine="1304"/>
        <w:spacing w:after="0" w:line="261" w:lineRule="auto"/>
        <w:tabs>
          <w:tab w:leader="none" w:pos="159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13(d)(3) of the Exchange Act), other than the Company or its Wholly Owned Subsidiaries, or the employee benefit plans of the Company or its Wholly Owned Subsidiaries, files any report with the Commission indicating that such person or group has become the direct or indirect “beneficial owner” (as defined below) of shares of the Company’s common equity representing more than fifty percent (50%) of the voting power of all of the Company’s then-outstanding common equity;</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Ordinary Shares are exchanged for, converted into, acquired for, or constitutes solely the right to receive, other securities, cash or other property (other than a subdivision or combination, or solely a change in par value, of the Ordinary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ind w:left="1580" w:hanging="276"/>
        <w:spacing w:after="0"/>
        <w:tabs>
          <w:tab w:leader="none" w:pos="1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or proposal for the liquidation or dissolution of the Company;</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cease to be listed on any Eligible Exchange; or</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restrictions set forth in Section 5 of that certain Lock-Up Agreement, dated as of February 24, 2026, by and among Voyager Acquisition Corp., Veraxa Biotech AG and European Molecular Biology Laboratory (as in effect as of the Issue Date and without giving effect to any amendments, amendments and restatements, supplements, or other modifications thereto after the Issue Date), terminate in accordance with Section 5(a)(ii) thereof.</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purposes of this definition, (x) any transaction or event described in both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(without regard to the proviso in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will be deemed to occur solely pursuant to</w:t>
      </w:r>
      <w:r>
        <w:rPr>
          <w:rFonts w:ascii="Times New Roman" w:cs="Times New Roman" w:eastAsia="Times New Roman" w:hAnsi="Times New Roman"/>
          <w:sz w:val="18"/>
          <w:szCs w:val="18"/>
          <w:b w:val="1"/>
          <w:bCs w:val="1"/>
          <w:color w:val="auto"/>
        </w:rPr>
        <w:t xml:space="preserve"> clause (B) </w:t>
      </w:r>
      <w:r>
        <w:rPr>
          <w:rFonts w:ascii="Times New Roman" w:cs="Times New Roman" w:eastAsia="Times New Roman" w:hAnsi="Times New Roman"/>
          <w:sz w:val="18"/>
          <w:szCs w:val="18"/>
          <w:color w:val="auto"/>
        </w:rPr>
        <w:t>above (subject to such proviso); and (y) whether a Person is a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will be determined in accordance with Rule 13d-3 under the Exchange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means the date as of which this Note must be repurchased for cash in connection with a Fundamental Change, as provided in </w:t>
      </w:r>
      <w:r>
        <w:rPr>
          <w:rFonts w:ascii="Times New Roman" w:cs="Times New Roman" w:eastAsia="Times New Roman" w:hAnsi="Times New Roman"/>
          <w:sz w:val="18"/>
          <w:szCs w:val="18"/>
          <w:b w:val="1"/>
          <w:bCs w:val="1"/>
          <w:color w:val="auto"/>
        </w:rPr>
        <w:t>Section 6(B)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means, with respect to this Note (or any portion of this Note to be repurchased) upon a Repurchase Upon Fundamental Change, a cash amount equal to the sum of (i) the then outstanding Principal Amount of this Note (or such lesser principal amount accelerated pursuant to such notice) and (ii) the accrued and unpaid interest on this Note.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provided the definitions set forth in this Note and any financial calculations required thereby shall be computed to exclude any change to lease accounting rules from those in effect pursuant to Financial Accounting Standards Board Accounting Standards Codification 840 (Leases) and other related lease accounting guidance as in effect on the date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in whose name this Note is registered on the books of the Company, which initially is the Initial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means “including without limitation,” unless the context provides otherwise.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Redemption Date</w:t>
      </w:r>
      <w:r>
        <w:rPr>
          <w:rFonts w:ascii="Times New Roman" w:cs="Times New Roman" w:eastAsia="Times New Roman" w:hAnsi="Times New Roman"/>
          <w:sz w:val="18"/>
          <w:szCs w:val="18"/>
          <w:color w:val="auto"/>
        </w:rPr>
        <w:t>” means the date that is thirty (30) calendar days after the delivery to the Company by the Holder of a Holder Redemption Notice.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Redemption Price</w:t>
      </w:r>
      <w:r>
        <w:rPr>
          <w:rFonts w:ascii="Times New Roman" w:cs="Times New Roman" w:eastAsia="Times New Roman" w:hAnsi="Times New Roman"/>
          <w:sz w:val="18"/>
          <w:szCs w:val="18"/>
          <w:color w:val="auto"/>
        </w:rPr>
        <w:t>” means a cash amount equal to the then outstanding Principal Amount of this Note being redeemed pursuant to the applicable Holder Redemption, plus accrued and unpaid interest on this Note.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indebtedness of any kind, including, without duplication (A) all indebtedness for borrowed money or the deferred purchase price of property or services, including reimbursement and other obligations with respect to surety bonds and letters of credit, (B) all obligations evidenced by notes, bonds, debentures or similar instruments, (C) all Capital Lease Obligations, (D) all Contingent Obligations, and (E) Disqualified Stock.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Holder</w:t>
      </w:r>
      <w:r>
        <w:rPr>
          <w:rFonts w:ascii="Times New Roman" w:cs="Times New Roman" w:eastAsia="Times New Roman" w:hAnsi="Times New Roman"/>
          <w:sz w:val="18"/>
          <w:szCs w:val="18"/>
          <w:color w:val="auto"/>
        </w:rPr>
        <w:t>” has the meaning set forth in the cover page of this Note.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with respect to the Company and each Subsidiary of the Company: all Copyrights; Trademarks; Patents; Licenses; trade secrets and inventions; mask works; the applications therefor and reissues, extensions, or renewals thereof; and the goodwill associated with any of the foregoing, together with the rights to sue for past, present and future infringement of Intellectual Property and the goodwill associated therewith.</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 to solely the extent of the amount in excess of the fair market value.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 2026.</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Ordinary Shares for any Trading Day means the closing sale price per Ordinary Share (or, if no closing sale price is reported, the average of the last bid price and the last ask price per share or, if more than one in either case, the average of the average last bid prices and the average last ask prices per Ordinary Share) on such Trading Day as reported in composite transactions for the principal U.S. national or regional securities exchange on which the Ordinary Shares are then listed. If the Ordinary Shares are not listed on a U.S. national or regional securities exchange on such Trading Day, then the Last Reported Sale Price will be the last quoted bid price per Ordinary Share on such Trading Day in the over-the-counter market as reported by OTC Markets Group Inc. or a similar organization. If the Ordinary Shares are not so quoted on such Trading Day, then the Last Reported Sale Price will be the average of the mid-point of the last bid price and the last ask price per Ordinary Share on such Trading Day from a nationally recognized independent investment banking firm selected by the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means any Copyright License, Patent License, Trademark License or other license of rights or interests.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research and development agreements that do not create or purport to create a security interest, encumbrance, levy, lien or charge of any kind shall not be deemed to be Liens for purposes of this Note.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in terms of volume, Eligible Exchange on which Ordinary Shares are listed for trading or trades, of any material suspension or limitation imposed on trading (by reason of movements in price exceeding limits permitted by the relevant exchange or otherwise) in the Ordinary Shares or in any options contracts or futures contracts relating to the Ordinary Shares.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“Market Share Payment Price</w:t>
      </w:r>
      <w:r>
        <w:rPr>
          <w:rFonts w:ascii="Times New Roman" w:cs="Times New Roman" w:eastAsia="Times New Roman" w:hAnsi="Times New Roman"/>
          <w:sz w:val="18"/>
          <w:szCs w:val="18"/>
          <w:color w:val="auto"/>
        </w:rPr>
        <w:t>” means, with respect to any Conversion Date or Event of Default Share Payment Date, as applicable, the higher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 an amount equal to ninety percent (90%) of the lowest Daily VWAP during the five (5) VWAP Trading Day period ending on and including the VWAP Trading Day immediately prior to the applicable Conversion Date or Event of Default Share Payment Date, as applicable and (ii) the then par value of an Ordinary Share.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 2027.</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Ordinary Shares or Convertible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is not exclusive, unless the context expressly provides otherwise.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xml:space="preserve">” means the ordinary shares, CHF 100/11,325 par value, of the Company, subject to </w:t>
      </w:r>
      <w:r>
        <w:rPr>
          <w:rFonts w:ascii="Times New Roman" w:cs="Times New Roman" w:eastAsia="Times New Roman" w:hAnsi="Times New Roman"/>
          <w:sz w:val="18"/>
          <w:szCs w:val="18"/>
          <w:b w:val="1"/>
          <w:bCs w:val="1"/>
          <w:color w:val="auto"/>
        </w:rPr>
        <w:t>Section 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 Change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Holder</w:t>
      </w:r>
      <w:r>
        <w:rPr>
          <w:rFonts w:ascii="Times New Roman" w:cs="Times New Roman" w:eastAsia="Times New Roman" w:hAnsi="Times New Roman"/>
          <w:sz w:val="18"/>
          <w:szCs w:val="18"/>
          <w:color w:val="auto"/>
        </w:rPr>
        <w:t>” means any person in whose name any Other Note is registered on the books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means any Notes that are of the same class of this Note and that are represented by one or more certificates other than the certificate representing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17830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1"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NTD</w:t>
      </w:r>
      <w:r>
        <w:rPr>
          <w:rFonts w:ascii="Times New Roman" w:cs="Times New Roman" w:eastAsia="Times New Roman" w:hAnsi="Times New Roman"/>
          <w:sz w:val="18"/>
          <w:szCs w:val="18"/>
          <w:color w:val="auto"/>
        </w:rPr>
        <w:t>: To be 15 months from the Issue Date.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Date</w:t>
      </w:r>
      <w:r>
        <w:rPr>
          <w:rFonts w:ascii="Times New Roman" w:cs="Times New Roman" w:eastAsia="Times New Roman" w:hAnsi="Times New Roman"/>
          <w:sz w:val="18"/>
          <w:szCs w:val="18"/>
          <w:color w:val="auto"/>
        </w:rPr>
        <w:t>” means, with respect to this Note, (A) the first calendar day of each month beginning on [●], 2026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(B) if not otherwise included in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the Maturity Date.</w:t>
      </w:r>
    </w:p>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Payment</w:t>
      </w:r>
      <w:r>
        <w:rPr>
          <w:rFonts w:ascii="Times New Roman" w:cs="Times New Roman" w:eastAsia="Times New Roman" w:hAnsi="Times New Roman"/>
          <w:sz w:val="18"/>
          <w:szCs w:val="18"/>
          <w:color w:val="auto"/>
        </w:rPr>
        <w:t xml:space="preserve">” means, for any date that is a Partial Redemption Date, an amount equal to two million seven hundred fifty thousand dollars ($2,750,000);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Holder and the Company may agree to increase or decrease the size of any Partial Redemption Payment by mutual written consent.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Share Payment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License</w:t>
      </w:r>
      <w:r>
        <w:rPr>
          <w:rFonts w:ascii="Times New Roman" w:cs="Times New Roman" w:eastAsia="Times New Roman" w:hAnsi="Times New Roman"/>
          <w:sz w:val="18"/>
          <w:szCs w:val="18"/>
          <w:color w:val="auto"/>
        </w:rPr>
        <w:t>” means any written agreement granting any right with respect to any invention covered by a Patent that is in existence or a Patent application that is pending, in which agreement the Company now holds or hereafter acquires any interest.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letters patent of, or rights corresponding thereto, in the United States or in any other country, all registrations and recordings thereof, and all applications for letters patent of, or rights corresponding thereto, in the United States or any other country.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(A) Indebtedness evidenced by this Note and all other Senior Secured Notes issued pursuant to the Securities Purchase Agreement; (B) Indebtedness actually disclosed pursuant to the Securities Purchase Agreement as of the date of the Securities Purchase Agreement; (C) Indebtedness to trade creditors incurred in the ordinary course of business consistent with past practices; (D) Subordinated Indebtedness of the Company; (E) reimbursement obligations in connection with letters of credit or similar instruments that are secured by Cash or Cash Equivalents and issued on behalf of the Company or a Subsidiary thereof in an aggregate amount not to exceed fifty thousand dollars ($50,000) at any time outstanding; and (F) Contingent Obligations that are guarantees of the Indebtedness described in clauses (A) through (E).</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Intellectual Property Licenses</w:t>
      </w:r>
      <w:r>
        <w:rPr>
          <w:rFonts w:ascii="Times New Roman" w:cs="Times New Roman" w:eastAsia="Times New Roman" w:hAnsi="Times New Roman"/>
          <w:sz w:val="18"/>
          <w:szCs w:val="18"/>
          <w:color w:val="auto"/>
        </w:rPr>
        <w:t>” means (A) Intellectual Property licenses actually disclosed pursuant to the Securities Purchase Agreement as of the date of the Securities Purchase Agreement, (B) non-perpetual Intellectual Property licenses granted in the ordinary course of business on arm’s length terms consisting of the licensing of technology, the development of technology or the providing of technical support which may include licenses with unlimited renewal options solely to the extent such options require mutual consent for renewal or are subject to financial or other conditions as to the ability of licensee to perform under the license; provided such license was not entered into during an Event of Default or continuance of a Default, and (C) any license granted in the ordinary course of business on arm’s length terms over the IP as listed in Schedule 2 (Permitted IP) to that certain Pledge of IP Rights Agreement, dated as of the Issue Date, by and between Veraxa Biotech GmbH and the Collateral Agent), provided such license was not entered into during an Event of Default or continuance of a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7830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1"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NTD</w:t>
      </w:r>
      <w:r>
        <w:rPr>
          <w:rFonts w:ascii="Times New Roman" w:cs="Times New Roman" w:eastAsia="Times New Roman" w:hAnsi="Times New Roman"/>
          <w:sz w:val="18"/>
          <w:szCs w:val="18"/>
          <w:color w:val="auto"/>
        </w:rPr>
        <w:t>: To be the first day of the third month following the Issue Date.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7" w:name="page148"/>
    <w:bookmarkEnd w:id="14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w:t>
      </w:r>
      <w:r>
        <w:rPr>
          <w:rFonts w:ascii="Times New Roman" w:cs="Times New Roman" w:eastAsia="Times New Roman" w:hAnsi="Times New Roman"/>
          <w:sz w:val="18"/>
          <w:szCs w:val="18"/>
          <w:color w:val="auto"/>
        </w:rPr>
        <w:t>” means: (A) Investments actually disclosed pursuant to the Securities Purchase Agreement, as in effect as of the Issue Date; (B) (i) marketable direct obligations issued or unconditionally guaranteed by the United States Government or any agency or any State thereof maturing within one year from the date of acquisition thereof, (ii) commercial paper maturing no more than one year from the date of creation thereof and currently having a rating of at least A-2 or P-2 from either Standard &amp; Poor’s Corporation or Moody’s Investors Service, (iii) certificates of deposit issued by any bank headquartered in the United States with assets of at least five billion dollars ($5,000,000,000) maturing no more than one year from the date of investment therein, and (iv) money market accounts; (C) Investments accepted in connection with Permitted Transfers; (D) Investments (including debt obligations) received in connection with the bankruptcy or reorganization of customers or suppliers and in settlement of delinquent obligations of, and other disputes with, customers or suppliers arising in the ordinary course of the Company’s business; (E) Investments consisting of notes receivable of, or prepaid royalties and other credit extensions, to customers and suppliers in the ordinary course of business and consistent with past practice, provided that this clause (E) shall not apply to Investments of the Company in any Subsidiary thereof; (F) Investments consisting of (i) loans not involving the net transfer on a substantially contemporaneous basis of cash proceeds to employees, officers or directors relating to the purchase of Capital Stock of the Company pursuant to employee stock purchase plans or other similar agreements approved by the Company’s Board of Directors and (ii) travel advances and employee relocation loans and other employee loans and advances in the ordinary course of business, provided that the aggregate of all such loans outstanding may not exceed fifty thousand dollars ($50,000) at any time; (G) Investments in Wholly Owned Subsidiaries; (H) Permitted Intellectual Property Licenses; and (I) additional Investments that do not exceed fifty thousand dollars ($50,000) in the aggregate in any twelve (12) month period.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any and all of the following: (A) Liens deemed to be disclosed pursuant to the Securities Purchase Agreement, as in effect as of the Issue Date; (B) Liens for taxes, fees, assessments or other governmental charges or levies, either not delinquent or being contested in good faith by appropriate proceedings; provided, that the Company maintains adequate reserves therefor in accordance with GAAP; (C) Liens securing claims or demands of materialmen, artisans, mechanics, carriers, warehousemen, landlords and other like Persons arising in the ordinary course of business; provided, that the payment thereof is not yet required; (D) Liens arising from judgments, decrees or attachments in circumstances which do not constitute a Default or an Event of Default hereunder; (E)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(F) leasehold interests in leases or subleases and licenses granted in the ordinary course of the Company’s business and not interfering in any material respect with the business of the licensor; (G) Liens in favor of customs and revenue authorities arising as a matter of law to secure payment of custom duties that are promptly paid on or before the date they become due; (H) Liens on insurance proceeds securing the payment of financed insurance premiums that are promptly paid on or before the date they become due (provided that such Liens extend only to such insurance proceeds and not to any other property or assets); (I) statutory and common law rights of set-off and other similar rights as to deposits of cash and securities in favor of banks, other depository institutions and brokerage firms; (J) easements, zoning restrictions, rights-of-way and similar encumbrances on real property imposed by law or arising in the ordinary course of business so long as they do not materially impair the value or marketability of the related property; (K) Liens on Cash or Cash Equivalents securing obligations permitted under clauses (C) and (E) of the definition of Permitted Indebtedness; (L) Liens in favor of Holder or the Collateral Agent; and (M) Liens incurred in connection with the extension, renewal or refinancing of the Indebtedness secured by Liens of the type described in clauses (B) through (K) above (other than any Indebtedness repaid with the proceeds of this Note);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means (A) dispositions of inventory sold, and Permitted Intellectual Property Licenses entered into, in each case, in the ordinary course of business, (B) dispositions of worn-out, obsolete or surplus property at fair market value in the ordinary course of business; (C) dispositions of accounts or payment intangibles (each as defined in the UCC) resulting from the compromise or settlement thereof in the ordinary course of business for less than the full amount thereof; (D) transfers consisting of Permitted Investments in Wholly Owned Subsidiaries under clause (G) of Permitted Investments; and (E) other transfers of assets to any Person other than to a joint venture and which have a fair market value of not more than fifty thousand dollars ($50,000) in the aggregate in any twelve (12) month period.</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Post-Amendment Warrant Share Reserve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xml:space="preserve">” has the meaning set forth in the cover page of this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Principal Amount of this Note will be subject to reduction (A) pursuant to </w:t>
      </w:r>
      <w:r>
        <w:rPr>
          <w:rFonts w:ascii="Times New Roman" w:cs="Times New Roman" w:eastAsia="Times New Roman" w:hAnsi="Times New Roman"/>
          <w:sz w:val="18"/>
          <w:szCs w:val="18"/>
          <w:b w:val="1"/>
          <w:bCs w:val="1"/>
          <w:color w:val="auto"/>
        </w:rPr>
        <w:t>Section 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4(F)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and (B) by an amount equal to the sum of all Cash Sweep Payments made pursuant to </w:t>
      </w:r>
      <w:r>
        <w:rPr>
          <w:rFonts w:ascii="Times New Roman" w:cs="Times New Roman" w:eastAsia="Times New Roman" w:hAnsi="Times New Roman"/>
          <w:sz w:val="18"/>
          <w:szCs w:val="18"/>
          <w:b w:val="1"/>
          <w:bCs w:val="1"/>
          <w:color w:val="auto"/>
        </w:rPr>
        <w:t>Section 4(B)</w:t>
      </w:r>
      <w:r>
        <w:rPr>
          <w:rFonts w:ascii="Times New Roman" w:cs="Times New Roman" w:eastAsia="Times New Roman" w:hAnsi="Times New Roman"/>
          <w:sz w:val="18"/>
          <w:szCs w:val="18"/>
          <w:color w:val="auto"/>
        </w:rPr>
        <w:t xml:space="preserve"> and Partial Redemption Payments made prior to the date of determination of the Principal Amount of the Note then outstanding.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Upon Fundamental Change</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German IP</w:t>
      </w:r>
      <w:r>
        <w:rPr>
          <w:rFonts w:ascii="Times New Roman" w:cs="Times New Roman" w:eastAsia="Times New Roman" w:hAnsi="Times New Roman"/>
          <w:sz w:val="18"/>
          <w:szCs w:val="18"/>
          <w:color w:val="auto"/>
        </w:rPr>
        <w:t>” means those certain exclusive rights of Veraxa Biotech GmbH as set forth out in Schedule 2 (</w:t>
      </w:r>
      <w:r>
        <w:rPr>
          <w:rFonts w:ascii="Times New Roman" w:cs="Times New Roman" w:eastAsia="Times New Roman" w:hAnsi="Times New Roman"/>
          <w:sz w:val="18"/>
          <w:szCs w:val="18"/>
          <w:i w:val="1"/>
          <w:iCs w:val="1"/>
          <w:color w:val="auto"/>
        </w:rPr>
        <w:t>List of IP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Exclusive Rights of Use</w:t>
      </w:r>
      <w:r>
        <w:rPr>
          <w:rFonts w:ascii="Times New Roman" w:cs="Times New Roman" w:eastAsia="Times New Roman" w:hAnsi="Times New Roman"/>
          <w:sz w:val="18"/>
          <w:szCs w:val="18"/>
          <w:color w:val="auto"/>
        </w:rPr>
        <w:t>) in that certain Pledge of IP Rights Agreement, dated as the Issue Date, by and between Veraxa Biotech GmbH, as “Pledgor”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therein), and HBC Collateral Agent LLC, as collateral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has the meaning set forth in the Securities Purchase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Ordinary Shares are then listed or, if the Ordinary Shares are not then listed on a U.S. national or regional securities exchange, on the principal, in terms of volume, Eligible Exchange on which the Ordinary Shares are listed for trading. If the Ordinary Shares are not so listed or traded, then “Scheduled Trading Day” means a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dated as of May 27, 2026, between the Company, VERAXA Biotech AG, Voyager Acquisition Corp. High Trail Special Situations II LLC and HT Investments MA LLC, providing for the issuance of this Note.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Agreements</w:t>
      </w:r>
      <w:r>
        <w:rPr>
          <w:rFonts w:ascii="Times New Roman" w:cs="Times New Roman" w:eastAsia="Times New Roman" w:hAnsi="Times New Roman"/>
          <w:sz w:val="18"/>
          <w:szCs w:val="18"/>
          <w:color w:val="auto"/>
        </w:rPr>
        <w:t>” means the Control Agreements and those certain security agreements, dated June 15, 2026, between the Company and the Collateral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w:t>
      </w:r>
      <w:r>
        <w:rPr>
          <w:rFonts w:ascii="Times New Roman" w:cs="Times New Roman" w:eastAsia="Times New Roman" w:hAnsi="Times New Roman"/>
          <w:sz w:val="18"/>
          <w:szCs w:val="18"/>
          <w:color w:val="auto"/>
        </w:rPr>
        <w:t>” has the meaning set forth in the Security Agreements.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with respect to any Person, any Subsidiary of such Person that constitutes a “significant subsidiary” (as defined in Rule 1-02(w) of Regulation S-X under the Exchange Act) of such Person.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Indebtedness</w:t>
      </w:r>
      <w:r>
        <w:rPr>
          <w:rFonts w:ascii="Times New Roman" w:cs="Times New Roman" w:eastAsia="Times New Roman" w:hAnsi="Times New Roman"/>
          <w:sz w:val="18"/>
          <w:szCs w:val="18"/>
          <w:color w:val="auto"/>
        </w:rPr>
        <w:t>” means Indebtedness subordinated to the Notes pursuant to a written agreement between the Required Holders and the applicable lender in amounts and on terms and conditions satisfactory to the Required Holders in their sole discretion.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10 Non-Bank Rule</w:t>
      </w:r>
      <w:r>
        <w:rPr>
          <w:rFonts w:ascii="Times New Roman" w:cs="Times New Roman" w:eastAsia="Times New Roman" w:hAnsi="Times New Roman"/>
          <w:sz w:val="18"/>
          <w:szCs w:val="18"/>
          <w:color w:val="auto"/>
        </w:rPr>
        <w:t>” means the rule that the aggregate number of creditors of the Company under the Transaction Documents which are not Swiss Qualifying Banks must not exceed ten (10) in accordance with the Swiss Guidelines or the applicable legislation or explanatory notes addressing the same issues that are in force at such time.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20 Non-Bank Rule</w:t>
      </w:r>
      <w:r>
        <w:rPr>
          <w:rFonts w:ascii="Times New Roman" w:cs="Times New Roman" w:eastAsia="Times New Roman" w:hAnsi="Times New Roman"/>
          <w:sz w:val="18"/>
          <w:szCs w:val="18"/>
          <w:color w:val="auto"/>
        </w:rPr>
        <w:t>” means the rule that (without duplication) the aggregate number of creditors (including the Holders), other than Swiss Qualifying Banks, of the Company under all outstanding loans, facilities and/or private placements relevant for classification as debenture (</w:t>
      </w:r>
      <w:r>
        <w:rPr>
          <w:rFonts w:ascii="Times New Roman" w:cs="Times New Roman" w:eastAsia="Times New Roman" w:hAnsi="Times New Roman"/>
          <w:sz w:val="18"/>
          <w:szCs w:val="18"/>
          <w:i w:val="1"/>
          <w:iCs w:val="1"/>
          <w:color w:val="auto"/>
        </w:rPr>
        <w:t>Kassenobligation</w:t>
      </w:r>
      <w:r>
        <w:rPr>
          <w:rFonts w:ascii="Times New Roman" w:cs="Times New Roman" w:eastAsia="Times New Roman" w:hAnsi="Times New Roman"/>
          <w:sz w:val="18"/>
          <w:szCs w:val="18"/>
          <w:color w:val="auto"/>
        </w:rPr>
        <w:t>) (including debt under the Transaction Documents), must not at any time exceed twenty (20), in accordance with the meaning of the Swiss Guidelines or the applicable legislation or explanatory notes addressing the same issues that are in force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Federal Tax Administration</w:t>
      </w:r>
      <w:r>
        <w:rPr>
          <w:rFonts w:ascii="Times New Roman" w:cs="Times New Roman" w:eastAsia="Times New Roman" w:hAnsi="Times New Roman"/>
          <w:sz w:val="18"/>
          <w:szCs w:val="18"/>
          <w:color w:val="auto"/>
        </w:rPr>
        <w:t>” means the tax authorities referred to in art. 34 of the Swiss Withholding Tax Act.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Guidelines</w:t>
      </w:r>
      <w:r>
        <w:rPr>
          <w:rFonts w:ascii="Times New Roman" w:cs="Times New Roman" w:eastAsia="Times New Roman" w:hAnsi="Times New Roman"/>
          <w:sz w:val="18"/>
          <w:szCs w:val="18"/>
          <w:color w:val="auto"/>
        </w:rPr>
        <w:t>” shall mean, together, (a) Guideline S-02.123 in relation to interbank loans of 22 September 1986 (</w:t>
      </w:r>
      <w:r>
        <w:rPr>
          <w:rFonts w:ascii="Times New Roman" w:cs="Times New Roman" w:eastAsia="Times New Roman" w:hAnsi="Times New Roman"/>
          <w:sz w:val="18"/>
          <w:szCs w:val="18"/>
          <w:i w:val="1"/>
          <w:iCs w:val="1"/>
          <w:color w:val="auto"/>
        </w:rPr>
        <w:t>Merkblatt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“Verrechnungssteuer auf Zinsen von Bankguthaben, deren Gläubiger Banken sind (Interbankguthaben)” vom 22. September 1986</w:t>
      </w:r>
      <w:r>
        <w:rPr>
          <w:rFonts w:ascii="Times New Roman" w:cs="Times New Roman" w:eastAsia="Times New Roman" w:hAnsi="Times New Roman"/>
          <w:sz w:val="18"/>
          <w:szCs w:val="18"/>
          <w:color w:val="auto"/>
        </w:rPr>
        <w:t>), (b) Guideline S-02.130.1 in relation to money market instruments and book claims of April 1999 (</w:t>
      </w:r>
      <w:r>
        <w:rPr>
          <w:rFonts w:ascii="Times New Roman" w:cs="Times New Roman" w:eastAsia="Times New Roman" w:hAnsi="Times New Roman"/>
          <w:sz w:val="18"/>
          <w:szCs w:val="18"/>
          <w:i w:val="1"/>
          <w:iCs w:val="1"/>
          <w:color w:val="auto"/>
        </w:rPr>
        <w:t>Merkblatt vom April 1999 betreffend Geldmarktpapiere 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Buchforderungen inländischer Schuldner</w:t>
      </w:r>
      <w:r>
        <w:rPr>
          <w:rFonts w:ascii="Times New Roman" w:cs="Times New Roman" w:eastAsia="Times New Roman" w:hAnsi="Times New Roman"/>
          <w:sz w:val="18"/>
          <w:szCs w:val="18"/>
          <w:color w:val="auto"/>
        </w:rPr>
        <w:t>), (c) Circular Letter No. 34 of 26 July 2011 (1-034-V-2011) in relation to deposits (</w:t>
      </w:r>
      <w:r>
        <w:rPr>
          <w:rFonts w:ascii="Times New Roman" w:cs="Times New Roman" w:eastAsia="Times New Roman" w:hAnsi="Times New Roman"/>
          <w:sz w:val="18"/>
          <w:szCs w:val="18"/>
          <w:i w:val="1"/>
          <w:iCs w:val="1"/>
          <w:color w:val="auto"/>
        </w:rPr>
        <w:t>Kreisschreiben Nr. 34 “Kundenguthaben” vom 26. Juli 2011</w:t>
      </w:r>
      <w:r>
        <w:rPr>
          <w:rFonts w:ascii="Times New Roman" w:cs="Times New Roman" w:eastAsia="Times New Roman" w:hAnsi="Times New Roman"/>
          <w:sz w:val="18"/>
          <w:szCs w:val="18"/>
          <w:color w:val="auto"/>
        </w:rPr>
        <w:t>), (d) Circular Letter No. 15 of 3 October 2017 (1-015-DVS-2017) in relation to bonds and derivative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as subject matter of taxation of Swiss federal income tax, Swiss withholding tax and Swiss stamp taxes (</w:t>
      </w:r>
      <w:r>
        <w:rPr>
          <w:rFonts w:ascii="Times New Roman" w:cs="Times New Roman" w:eastAsia="Times New Roman" w:hAnsi="Times New Roman"/>
          <w:sz w:val="18"/>
          <w:szCs w:val="18"/>
          <w:i w:val="1"/>
          <w:iCs w:val="1"/>
          <w:color w:val="auto"/>
        </w:rPr>
        <w:t>Kreisschreiben Nr. 15 “Obligationen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 derivative Finanzinstrumente als Gegenstand der direkten Bundessteuer, der Verrechnungssteuer und der Stempelabgaben” vom 3. Oktober 2017</w:t>
      </w:r>
      <w:r>
        <w:rPr>
          <w:rFonts w:ascii="Times New Roman" w:cs="Times New Roman" w:eastAsia="Times New Roman" w:hAnsi="Times New Roman"/>
          <w:sz w:val="18"/>
          <w:szCs w:val="18"/>
          <w:color w:val="auto"/>
        </w:rPr>
        <w:t>), (e)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Circular Letter No. 46 of 24 July 2019 (1-046-DVS-2019) in relation to syndicated credit facilities </w:t>
      </w:r>
      <w:r>
        <w:rPr>
          <w:rFonts w:ascii="Times New Roman" w:cs="Times New Roman" w:eastAsia="Times New Roman" w:hAnsi="Times New Roman"/>
          <w:sz w:val="18"/>
          <w:szCs w:val="18"/>
          <w:i w:val="1"/>
          <w:iCs w:val="1"/>
          <w:color w:val="auto"/>
        </w:rPr>
        <w:t>(Kreisschreiben Nr. 46 betreffend steuerliche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Behandlung von Konsortialdarlehen, Schuldscheindarlehen, Wechseln und Unterbeteiligungen vom 24. Juli 2019</w:t>
      </w:r>
      <w:r>
        <w:rPr>
          <w:rFonts w:ascii="Times New Roman" w:cs="Times New Roman" w:eastAsia="Times New Roman" w:hAnsi="Times New Roman"/>
          <w:sz w:val="18"/>
          <w:szCs w:val="18"/>
          <w:color w:val="auto"/>
        </w:rPr>
        <w:t>), (f) Circular Letter No. 47 of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2019 (1-047-DVS-2019) in relation to bonds (</w:t>
      </w:r>
      <w:r>
        <w:rPr>
          <w:rFonts w:ascii="Times New Roman" w:cs="Times New Roman" w:eastAsia="Times New Roman" w:hAnsi="Times New Roman"/>
          <w:sz w:val="18"/>
          <w:szCs w:val="18"/>
          <w:i w:val="1"/>
          <w:iCs w:val="1"/>
          <w:color w:val="auto"/>
        </w:rPr>
        <w:t>Kreisschreiben Nr. 47 betreffend Obligationen vom 25. Juli 2019</w:t>
      </w:r>
      <w:r>
        <w:rPr>
          <w:rFonts w:ascii="Times New Roman" w:cs="Times New Roman" w:eastAsia="Times New Roman" w:hAnsi="Times New Roman"/>
          <w:sz w:val="18"/>
          <w:szCs w:val="18"/>
          <w:color w:val="auto"/>
        </w:rPr>
        <w:t>) and (g) the practice note 010-DVS-2019 of 5 February 2019 published by the Swiss Federal Tax Administration regarding Swiss Withholding Tax in the Group (</w:t>
      </w:r>
      <w:r>
        <w:rPr>
          <w:rFonts w:ascii="Times New Roman" w:cs="Times New Roman" w:eastAsia="Times New Roman" w:hAnsi="Times New Roman"/>
          <w:sz w:val="18"/>
          <w:szCs w:val="18"/>
          <w:i w:val="1"/>
          <w:iCs w:val="1"/>
          <w:color w:val="auto"/>
        </w:rPr>
        <w:t>Mitteilung-010-DVS-2019-d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vom 5. Februar 2019 - Verrechnungssteuer: Guthaben im Konzern</w:t>
      </w:r>
      <w:r>
        <w:rPr>
          <w:rFonts w:ascii="Times New Roman" w:cs="Times New Roman" w:eastAsia="Times New Roman" w:hAnsi="Times New Roman"/>
          <w:sz w:val="18"/>
          <w:szCs w:val="18"/>
          <w:color w:val="auto"/>
        </w:rPr>
        <w:t>), in each case as issued, amended or replaced from time to time by the Swiss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Administration or as substituted or superseded and overruled by any law, statute, ordinance, court decision, regulation or the like as in force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Non-Bank Rules</w:t>
      </w:r>
      <w:r>
        <w:rPr>
          <w:rFonts w:ascii="Times New Roman" w:cs="Times New Roman" w:eastAsia="Times New Roman" w:hAnsi="Times New Roman"/>
          <w:sz w:val="18"/>
          <w:szCs w:val="18"/>
          <w:color w:val="auto"/>
        </w:rPr>
        <w:t>” means the Swiss 10 Non-Bank Rule and the Swiss 20 Non-Bank Rule.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Qualifying Bank</w:t>
      </w:r>
      <w:r>
        <w:rPr>
          <w:rFonts w:ascii="Times New Roman" w:cs="Times New Roman" w:eastAsia="Times New Roman" w:hAnsi="Times New Roman"/>
          <w:sz w:val="18"/>
          <w:szCs w:val="18"/>
          <w:color w:val="auto"/>
        </w:rPr>
        <w:t>” means (i) any bank as defined in the Swiss Federal Code for Banks and Savings Banks dated November 1934 (</w:t>
      </w:r>
      <w:r>
        <w:rPr>
          <w:rFonts w:ascii="Times New Roman" w:cs="Times New Roman" w:eastAsia="Times New Roman" w:hAnsi="Times New Roman"/>
          <w:sz w:val="18"/>
          <w:szCs w:val="18"/>
          <w:i w:val="1"/>
          <w:iCs w:val="1"/>
          <w:color w:val="auto"/>
        </w:rPr>
        <w:t>Bundesgesetz über die Banken und Sparkassen</w:t>
      </w:r>
      <w:r>
        <w:rPr>
          <w:rFonts w:ascii="Times New Roman" w:cs="Times New Roman" w:eastAsia="Times New Roman" w:hAnsi="Times New Roman"/>
          <w:sz w:val="18"/>
          <w:szCs w:val="18"/>
          <w:color w:val="auto"/>
        </w:rPr>
        <w:t>), (ii) any person acting on its own account which is licensed as a bank under the banking laws in force in its jurisdiction of incorporation and any branch of a legal entity which is licensed as a bank under the banking laws in force in the jurisdiction where such branch is situated, and which, in each case, exercises as its main purpose a true banking activity, having its own bank personnel, premises, communication devices and decision-making power, all in accordance with the Swiss Guidelines, or (iii) a federal reserve or central bank (including supranational central banks such as inter alia the European Central Bank) and institutions with a similar function as a federal reserve or central bank in countries which do not have a federal reserve or central bank and the Bank for International Settlements (BIS).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Withholding Tax</w:t>
      </w:r>
      <w:r>
        <w:rPr>
          <w:rFonts w:ascii="Times New Roman" w:cs="Times New Roman" w:eastAsia="Times New Roman" w:hAnsi="Times New Roman"/>
          <w:sz w:val="18"/>
          <w:szCs w:val="18"/>
          <w:color w:val="auto"/>
        </w:rPr>
        <w:t>” means the tax imposed based on the Swiss Withholding Tax Act.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Withholding Tax Act</w:t>
      </w:r>
      <w:r>
        <w:rPr>
          <w:rFonts w:ascii="Times New Roman" w:cs="Times New Roman" w:eastAsia="Times New Roman" w:hAnsi="Times New Roman"/>
          <w:sz w:val="18"/>
          <w:szCs w:val="18"/>
          <w:color w:val="auto"/>
        </w:rPr>
        <w:t>” means the Swiss Federal Act on Withholding Tax of 13 October 1965 (</w:t>
      </w:r>
      <w:r>
        <w:rPr>
          <w:rFonts w:ascii="Times New Roman" w:cs="Times New Roman" w:eastAsia="Times New Roman" w:hAnsi="Times New Roman"/>
          <w:sz w:val="18"/>
          <w:szCs w:val="18"/>
          <w:i w:val="1"/>
          <w:iCs w:val="1"/>
          <w:color w:val="auto"/>
        </w:rPr>
        <w:t>Bundesgesetz über die Verrechnungssteuer</w:t>
      </w:r>
      <w:r>
        <w:rPr>
          <w:rFonts w:ascii="Times New Roman" w:cs="Times New Roman" w:eastAsia="Times New Roman" w:hAnsi="Times New Roman"/>
          <w:sz w:val="18"/>
          <w:szCs w:val="18"/>
          <w:color w:val="auto"/>
        </w:rPr>
        <w:t>) as amended from time to time together with the related ordinances, regulations and guidelines.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 License</w:t>
      </w:r>
      <w:r>
        <w:rPr>
          <w:rFonts w:ascii="Times New Roman" w:cs="Times New Roman" w:eastAsia="Times New Roman" w:hAnsi="Times New Roman"/>
          <w:sz w:val="18"/>
          <w:szCs w:val="18"/>
          <w:color w:val="auto"/>
        </w:rPr>
        <w:t>” means any written agreement granting any right to use any Trademark or Trademark registration, now owned or hereafter acquired by the Company or in which the Company now holds or hereafter acquires any interest.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all trademarks (registered, common law or otherwise) and any applications in connection therewith, including registrations, recordings and applications in the United States Patent and Trademark Office or in any similar office or agency of the United States, any State thereof or any other country or any political subdivision thereof.</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Ordinary Shares generally occurs on the principal U.S. national or regional securities exchange on which the Ordinary Shares are then listed or, if the Ordinary Shares are not then listed on a U.S. national or regional securities exchange, on the principal, in terms of volume, Eligible Exchange on which the Ordinary Shares are listed for trading; and (B) there is no Market Disruption Event, provided that the Holder, by written notice to the Company, may waive any such Market Disruption Event. If the Ordinary Shares are not so listed or traded, then “Trading Day” means a Business Day.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has the meaning set forth in the Securities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the same is, from time to time, in effect in the State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Undelivered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7(D)(iv)</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Ordinary Shares are then listed, or, if Ordinary Shares are not then listed on a U.S. national or regional securities exchange, the principal, in terms of volume, Eligible Exchange on which the Ordinary Shares are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Ordinary Shares or in any options contracts or futures contracts relating to the Ordinary Shares, and such suspension or limitation occurs or exists at any time before 1:00 p.m., New York City time, on such date.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provided that the Holder, by written notice to the Company, may waive any such VWAP Market Disruption Event; and (B) trading in the Ordinary Shares generally occurs on the principal U.S. national or regional securities exchange on which the Ordinary Shares are then listed or, if the Ordinary Shares are not then listed on a U.S. national or regional securities exchange, on the principal, in terms of volume, Eligible Exchange on which Ordinary Shares are then traded. If the Ordinary Shares are not so listed or traded, then “VWAP Trading Day” means a Business Day.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has the meaning set forth in the Securities Purchase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Xlife</w:t>
      </w:r>
      <w:r>
        <w:rPr>
          <w:rFonts w:ascii="Times New Roman" w:cs="Times New Roman" w:eastAsia="Times New Roman" w:hAnsi="Times New Roman"/>
          <w:sz w:val="18"/>
          <w:szCs w:val="18"/>
          <w:color w:val="auto"/>
        </w:rPr>
        <w:t>” means Xlife Sciences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eemed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of this Note will be treated as the owner of this Note for all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and any Note issued in exchange therefor or in substitution thereof, will be in registered form, without coupons.</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Section 4. P</w:t>
      </w:r>
      <w:r>
        <w:rPr>
          <w:rFonts w:ascii="Times New Roman" w:cs="Times New Roman" w:eastAsia="Times New Roman" w:hAnsi="Times New Roman"/>
          <w:sz w:val="12"/>
          <w:szCs w:val="12"/>
          <w:b w:val="1"/>
          <w:bCs w:val="1"/>
          <w:color w:val="auto"/>
        </w:rPr>
        <w:t>artial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edemption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ash</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weep</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aturity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repayment</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edemption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lection</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2"/>
          <w:szCs w:val="12"/>
          <w:b w:val="1"/>
          <w:bCs w:val="1"/>
          <w:color w:val="auto"/>
        </w:rPr>
        <w:t>older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edemption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lection</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23" w:lineRule="exact"/>
        <w:rPr>
          <w:sz w:val="20"/>
          <w:szCs w:val="20"/>
          <w:color w:val="auto"/>
        </w:rPr>
      </w:pPr>
    </w:p>
    <w:p>
      <w:pPr>
        <w:jc w:val="both"/>
        <w:ind w:firstLine="656"/>
        <w:spacing w:after="0" w:line="257" w:lineRule="auto"/>
        <w:tabs>
          <w:tab w:leader="none" w:pos="97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Redemption Payments</w:t>
      </w:r>
      <w:r>
        <w:rPr>
          <w:rFonts w:ascii="Times New Roman" w:cs="Times New Roman" w:eastAsia="Times New Roman" w:hAnsi="Times New Roman"/>
          <w:sz w:val="18"/>
          <w:szCs w:val="18"/>
          <w:color w:val="auto"/>
        </w:rPr>
        <w:t>. The Company shall partially redeem this Note in an amount equal to the applicable Partial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on each Partial Redemption Date. Each such Partial Redemption Payment shall be paid to Holder in cash on each Partial Redemption Date in accordance with </w:t>
      </w:r>
      <w:r>
        <w:rPr>
          <w:rFonts w:ascii="Times New Roman" w:cs="Times New Roman" w:eastAsia="Times New Roman" w:hAnsi="Times New Roman"/>
          <w:sz w:val="18"/>
          <w:szCs w:val="18"/>
          <w:b w:val="1"/>
          <w:bCs w:val="1"/>
          <w:color w:val="auto"/>
        </w:rPr>
        <w:t>Section 5(A)</w:t>
      </w:r>
      <w:r>
        <w:rPr>
          <w:rFonts w:ascii="Times New Roman" w:cs="Times New Roman" w:eastAsia="Times New Roman" w:hAnsi="Times New Roman"/>
          <w:sz w:val="18"/>
          <w:szCs w:val="18"/>
          <w:color w:val="auto"/>
        </w:rPr>
        <w:t xml:space="preserve"> or in Ordinary Shares on each Conversion Settlement Date in accordance with </w:t>
      </w:r>
      <w:r>
        <w:rPr>
          <w:rFonts w:ascii="Times New Roman" w:cs="Times New Roman" w:eastAsia="Times New Roman" w:hAnsi="Times New Roman"/>
          <w:sz w:val="18"/>
          <w:szCs w:val="18"/>
          <w:b w:val="1"/>
          <w:bCs w:val="1"/>
          <w:color w:val="auto"/>
        </w:rPr>
        <w:t>Section 5(E)</w:t>
      </w:r>
      <w:r>
        <w:rPr>
          <w:rFonts w:ascii="Times New Roman" w:cs="Times New Roman" w:eastAsia="Times New Roman" w:hAnsi="Times New Roman"/>
          <w:sz w:val="18"/>
          <w:szCs w:val="18"/>
          <w:color w:val="auto"/>
        </w:rPr>
        <w:t xml:space="preserve">. Any Partial Redemption Payment paid pursuant to this </w:t>
      </w:r>
      <w:r>
        <w:rPr>
          <w:rFonts w:ascii="Times New Roman" w:cs="Times New Roman" w:eastAsia="Times New Roman" w:hAnsi="Times New Roman"/>
          <w:sz w:val="18"/>
          <w:szCs w:val="18"/>
          <w:b w:val="1"/>
          <w:bCs w:val="1"/>
          <w:color w:val="auto"/>
        </w:rPr>
        <w:t>Section 4(A)</w:t>
      </w:r>
      <w:r>
        <w:rPr>
          <w:rFonts w:ascii="Times New Roman" w:cs="Times New Roman" w:eastAsia="Times New Roman" w:hAnsi="Times New Roman"/>
          <w:sz w:val="18"/>
          <w:szCs w:val="18"/>
          <w:color w:val="auto"/>
        </w:rPr>
        <w:t xml:space="preserve"> shall reduce the Principal Amount by such paid amount. If this Note (or any portion of this Note) is to be redeemed pursuant to this </w:t>
      </w:r>
      <w:r>
        <w:rPr>
          <w:rFonts w:ascii="Times New Roman" w:cs="Times New Roman" w:eastAsia="Times New Roman" w:hAnsi="Times New Roman"/>
          <w:sz w:val="18"/>
          <w:szCs w:val="18"/>
          <w:b w:val="1"/>
          <w:bCs w:val="1"/>
          <w:color w:val="auto"/>
        </w:rPr>
        <w:t>Section 4(A)</w:t>
      </w:r>
      <w:r>
        <w:rPr>
          <w:rFonts w:ascii="Times New Roman" w:cs="Times New Roman" w:eastAsia="Times New Roman" w:hAnsi="Times New Roman"/>
          <w:sz w:val="18"/>
          <w:szCs w:val="18"/>
          <w:color w:val="auto"/>
        </w:rPr>
        <w:t>, then, from and after the date the related Partial Redemption Payment is paid in full, this Note (or such portion) will cease to be outstanding and interest will cease to accrue on this Note (or such portion).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ind w:left="940" w:hanging="284"/>
        <w:spacing w:after="0"/>
        <w:tabs>
          <w:tab w:leader="none" w:pos="9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Sweep Payments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Note, any payment made to the Holder pursuant to </w:t>
      </w:r>
      <w:r>
        <w:rPr>
          <w:rFonts w:ascii="Times New Roman" w:cs="Times New Roman" w:eastAsia="Times New Roman" w:hAnsi="Times New Roman"/>
          <w:sz w:val="18"/>
          <w:szCs w:val="18"/>
          <w:b w:val="1"/>
          <w:bCs w:val="1"/>
          <w:color w:val="auto"/>
        </w:rPr>
        <w:t>Section 4(B)</w:t>
      </w:r>
      <w:r>
        <w:rPr>
          <w:rFonts w:ascii="Times New Roman" w:cs="Times New Roman" w:eastAsia="Times New Roman" w:hAnsi="Times New Roman"/>
          <w:sz w:val="18"/>
          <w:szCs w:val="18"/>
          <w:color w:val="auto"/>
        </w:rPr>
        <w:t xml:space="preserve"> shall be referred to as a </w:t>
      </w:r>
      <w:r>
        <w:rPr>
          <w:rFonts w:ascii="Times New Roman" w:cs="Times New Roman" w:eastAsia="Times New Roman" w:hAnsi="Times New Roman"/>
          <w:sz w:val="18"/>
          <w:szCs w:val="18"/>
          <w:b w:val="1"/>
          <w:bCs w:val="1"/>
          <w:color w:val="auto"/>
        </w:rPr>
        <w:t>“Cash Sweep</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completion of any Cash Sweep Financing, the Company shall certify to Holder in writing (i) the amount of the applicable Cash Sweep Financing and (ii) the calculation of the potential Cash Sweep Amount with respect to such Cash Sweep Financing (including a certification that such Cash Sweep Amount was calculated in accordance with the terms hereof) (such certification a “</w:t>
      </w:r>
      <w:r>
        <w:rPr>
          <w:rFonts w:ascii="Times New Roman" w:cs="Times New Roman" w:eastAsia="Times New Roman" w:hAnsi="Times New Roman"/>
          <w:sz w:val="18"/>
          <w:szCs w:val="18"/>
          <w:b w:val="1"/>
          <w:bCs w:val="1"/>
          <w:color w:val="auto"/>
        </w:rPr>
        <w:t>Cash Sweep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18"/>
          <w:szCs w:val="18"/>
          <w:color w:val="auto"/>
        </w:rPr>
        <w:t>”); provided, however, that, unless consented to by the Holder in writing, in the event that the extent of such Cash Sweep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Sweep Amount is such that the information required in such certification would constitute material non-public information regarding the Company, then the Company shall also concurrently publicly disclose such material non-public information on a Form 6-K or otherwise.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to require the Company, exercisable by delivery of written notice to the Company of exercise of such right (a “</w:t>
      </w:r>
      <w:r>
        <w:rPr>
          <w:rFonts w:ascii="Times New Roman" w:cs="Times New Roman" w:eastAsia="Times New Roman" w:hAnsi="Times New Roman"/>
          <w:sz w:val="18"/>
          <w:szCs w:val="18"/>
          <w:b w:val="1"/>
          <w:bCs w:val="1"/>
          <w:color w:val="auto"/>
        </w:rPr>
        <w:t>Cash Sweep Notice</w:t>
      </w:r>
      <w:r>
        <w:rPr>
          <w:rFonts w:ascii="Times New Roman" w:cs="Times New Roman" w:eastAsia="Times New Roman" w:hAnsi="Times New Roman"/>
          <w:sz w:val="18"/>
          <w:szCs w:val="18"/>
          <w:color w:val="auto"/>
        </w:rPr>
        <w:t>”), to pay to the Holder in cash within one (1) Business Day following the delivery of such Cash Sweep Notice (regardless of whether the Company actually delivers a Cash Sweep Certification), all or a portion of the Cash Sweep Amount with respect to such Cash Sweep Financing.</w:t>
      </w:r>
    </w:p>
    <w:p>
      <w:pPr>
        <w:spacing w:after="0" w:line="177" w:lineRule="exact"/>
        <w:rPr>
          <w:rFonts w:ascii="Times New Roman" w:cs="Times New Roman" w:eastAsia="Times New Roman" w:hAnsi="Times New Roman"/>
          <w:sz w:val="18"/>
          <w:szCs w:val="18"/>
          <w:color w:val="auto"/>
        </w:rPr>
      </w:pPr>
    </w:p>
    <w:p>
      <w:pPr>
        <w:ind w:firstLine="656"/>
        <w:spacing w:after="0" w:line="284" w:lineRule="auto"/>
        <w:tabs>
          <w:tab w:leader="none" w:pos="93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 Date Payment</w:t>
      </w:r>
      <w:r>
        <w:rPr>
          <w:rFonts w:ascii="Times New Roman" w:cs="Times New Roman" w:eastAsia="Times New Roman" w:hAnsi="Times New Roman"/>
          <w:sz w:val="18"/>
          <w:szCs w:val="18"/>
          <w:color w:val="auto"/>
        </w:rPr>
        <w:t>. On the Maturity Date, the Company will pay the Holder an amount in cash equal to the then-outstanding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this Note, plus any accrued and unpaid interest on this Note.</w:t>
      </w:r>
    </w:p>
    <w:p>
      <w:pPr>
        <w:spacing w:after="0" w:line="15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w:t>
      </w:r>
      <w:r>
        <w:rPr>
          <w:rFonts w:ascii="Times New Roman" w:cs="Times New Roman" w:eastAsia="Times New Roman" w:hAnsi="Times New Roman"/>
          <w:sz w:val="18"/>
          <w:szCs w:val="18"/>
          <w:color w:val="auto"/>
        </w:rPr>
        <w:t>. The Company may not prepay the Note without the written consent of the Holder other than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656"/>
        <w:spacing w:after="0" w:line="252" w:lineRule="auto"/>
        <w:tabs>
          <w:tab w:leader="none" w:pos="92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Redemption Election</w:t>
      </w:r>
      <w:r>
        <w:rPr>
          <w:rFonts w:ascii="Times New Roman" w:cs="Times New Roman" w:eastAsia="Times New Roman" w:hAnsi="Times New Roman"/>
          <w:sz w:val="18"/>
          <w:szCs w:val="18"/>
          <w:color w:val="auto"/>
        </w:rPr>
        <w:t>. The Company may redeem all (or a portion thereof not less than one million dollars ($1,000,000)) of the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Amount of this Note (a “</w:t>
      </w:r>
      <w:r>
        <w:rPr>
          <w:rFonts w:ascii="Times New Roman" w:cs="Times New Roman" w:eastAsia="Times New Roman" w:hAnsi="Times New Roman"/>
          <w:sz w:val="18"/>
          <w:szCs w:val="18"/>
          <w:b w:val="1"/>
          <w:bCs w:val="1"/>
          <w:color w:val="auto"/>
        </w:rPr>
        <w:t>Company Redemption</w:t>
      </w:r>
      <w:r>
        <w:rPr>
          <w:rFonts w:ascii="Times New Roman" w:cs="Times New Roman" w:eastAsia="Times New Roman" w:hAnsi="Times New Roman"/>
          <w:sz w:val="18"/>
          <w:szCs w:val="18"/>
          <w:color w:val="auto"/>
        </w:rPr>
        <w:t>”), on a date to be determined by the Company (any such date 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for a cash redemption price equal to the Company Redemption Price without premium or penalty; provided that if a Default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and is continuing or any Event of Default has occurred that has not been waived at any time during the period beginning on and including the date the Company Redemption Notice is delivered and ending on and including the Company Redemption Date, then such cash redemption price shall be equal to one hundred fifteen percent (115%) of the portion of the outstanding Principal Amount of this Note being redeemed pursuant to such Company Redemption, plus the accrued and unpaid interest on this Note. In order to elect such redemption, the Company must provide notice of a Company Redemption, which notice shall state the Company Redemption Date and the outstanding Principal Amount of this Note to be redeemed (which for the avoidance of doubt, shall not be less than one million dollars ($1,000,000)) (a “</w:t>
      </w:r>
      <w:r>
        <w:rPr>
          <w:rFonts w:ascii="Times New Roman" w:cs="Times New Roman" w:eastAsia="Times New Roman" w:hAnsi="Times New Roman"/>
          <w:sz w:val="18"/>
          <w:szCs w:val="18"/>
          <w:b w:val="1"/>
          <w:bCs w:val="1"/>
          <w:color w:val="auto"/>
        </w:rPr>
        <w:t>Company Redemption Notice</w:t>
      </w:r>
      <w:r>
        <w:rPr>
          <w:rFonts w:ascii="Times New Roman" w:cs="Times New Roman" w:eastAsia="Times New Roman" w:hAnsi="Times New Roman"/>
          <w:sz w:val="18"/>
          <w:szCs w:val="18"/>
          <w:color w:val="auto"/>
        </w:rPr>
        <w:t xml:space="preserve">”) at least five (5) Trading Days prior to such Company Redemption Date and the Company must have, on or prior to 8:30 a.m., New York City time, on the Trading Day on which such Company Redemption Notice is delivered, publicly disclosed any material, non-public information regarding the Company (including the fact that the Company is redeeming the Note) on a Form 6-K or otherwise. The Holder may convert any portion of this Note pursuant to </w:t>
      </w:r>
      <w:r>
        <w:rPr>
          <w:rFonts w:ascii="Times New Roman" w:cs="Times New Roman" w:eastAsia="Times New Roman" w:hAnsi="Times New Roman"/>
          <w:sz w:val="18"/>
          <w:szCs w:val="18"/>
          <w:b w:val="1"/>
          <w:bCs w:val="1"/>
          <w:color w:val="auto"/>
        </w:rPr>
        <w:t>Section 5(E)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with respect to which the Company has delivered a Partial Redemption Share Payment Notice prior to the payment of the Company Redemption Price. Notwithstanding anything herein to the contrary, the Company will not have the right to, and will not, make any Company Redemption pursuant to this </w:t>
      </w:r>
      <w:r>
        <w:rPr>
          <w:rFonts w:ascii="Times New Roman" w:cs="Times New Roman" w:eastAsia="Times New Roman" w:hAnsi="Times New Roman"/>
          <w:sz w:val="18"/>
          <w:szCs w:val="18"/>
          <w:b w:val="1"/>
          <w:bCs w:val="1"/>
          <w:color w:val="auto"/>
        </w:rPr>
        <w:t>Section 4(E)</w:t>
      </w:r>
      <w:r>
        <w:rPr>
          <w:rFonts w:ascii="Times New Roman" w:cs="Times New Roman" w:eastAsia="Times New Roman" w:hAnsi="Times New Roman"/>
          <w:sz w:val="18"/>
          <w:szCs w:val="18"/>
          <w:color w:val="auto"/>
        </w:rPr>
        <w:t xml:space="preserve"> if a Default with respect to </w:t>
      </w:r>
      <w:r>
        <w:rPr>
          <w:rFonts w:ascii="Times New Roman" w:cs="Times New Roman" w:eastAsia="Times New Roman" w:hAnsi="Times New Roman"/>
          <w:sz w:val="18"/>
          <w:szCs w:val="18"/>
          <w:b w:val="1"/>
          <w:bCs w:val="1"/>
          <w:color w:val="auto"/>
        </w:rPr>
        <w:t>Section 10(A)(iii)</w:t>
      </w:r>
      <w:r>
        <w:rPr>
          <w:rFonts w:ascii="Times New Roman" w:cs="Times New Roman" w:eastAsia="Times New Roman" w:hAnsi="Times New Roman"/>
          <w:sz w:val="18"/>
          <w:szCs w:val="18"/>
          <w:color w:val="auto"/>
        </w:rPr>
        <w:t xml:space="preserve"> has occurred and is continuing or an Event of Default pursuant to </w:t>
      </w:r>
      <w:r>
        <w:rPr>
          <w:rFonts w:ascii="Times New Roman" w:cs="Times New Roman" w:eastAsia="Times New Roman" w:hAnsi="Times New Roman"/>
          <w:sz w:val="18"/>
          <w:szCs w:val="18"/>
          <w:b w:val="1"/>
          <w:bCs w:val="1"/>
          <w:color w:val="auto"/>
        </w:rPr>
        <w:t>Section 10(A)(iii)</w:t>
      </w:r>
      <w:r>
        <w:rPr>
          <w:rFonts w:ascii="Times New Roman" w:cs="Times New Roman" w:eastAsia="Times New Roman" w:hAnsi="Times New Roman"/>
          <w:sz w:val="18"/>
          <w:szCs w:val="18"/>
          <w:color w:val="auto"/>
        </w:rPr>
        <w:t xml:space="preserve"> has occurred and has not been waived. If this Note is to be redeemed in full (whether in cash or Ordinary Shares) pursuant to this </w:t>
      </w:r>
      <w:r>
        <w:rPr>
          <w:rFonts w:ascii="Times New Roman" w:cs="Times New Roman" w:eastAsia="Times New Roman" w:hAnsi="Times New Roman"/>
          <w:sz w:val="18"/>
          <w:szCs w:val="18"/>
          <w:b w:val="1"/>
          <w:bCs w:val="1"/>
          <w:color w:val="auto"/>
        </w:rPr>
        <w:t>Section 4(E)</w:t>
      </w:r>
      <w:r>
        <w:rPr>
          <w:rFonts w:ascii="Times New Roman" w:cs="Times New Roman" w:eastAsia="Times New Roman" w:hAnsi="Times New Roman"/>
          <w:sz w:val="18"/>
          <w:szCs w:val="18"/>
          <w:color w:val="auto"/>
        </w:rPr>
        <w:t xml:space="preserve"> then, from and after the date the related Company Redemption Price is paid in full, this Note will cease to be outstanding.</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54" w:name="page155"/>
    <w:bookmarkEnd w:id="154"/>
    <w:p>
      <w:pPr>
        <w:ind w:left="264" w:hanging="264"/>
        <w:spacing w:after="0"/>
        <w:tabs>
          <w:tab w:leader="none" w:pos="26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Redemption Election.</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8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licenses, sublicenses, or otherwise assigns, transfers, or grants any rights under or in respect of the Restricted German IP to a third party, or to cause a Subsidiary of the Company to license, sublicense, or otherwise assign, transfer, or grant any rights under or in respect of the Restricted German IP to a third party, the Company shall (x) publicly disclose such transaction on a Form 8-K or Form 6-K on the same Trading Day as the consummation of such transaction and (y) deliver written notice thereof to the Holder on the same Trading Day as the consummation of such transaction (the “</w:t>
      </w:r>
      <w:r>
        <w:rPr>
          <w:rFonts w:ascii="Times New Roman" w:cs="Times New Roman" w:eastAsia="Times New Roman" w:hAnsi="Times New Roman"/>
          <w:sz w:val="18"/>
          <w:szCs w:val="18"/>
          <w:b w:val="1"/>
          <w:bCs w:val="1"/>
          <w:color w:val="auto"/>
        </w:rPr>
        <w:t>Restricted German IP Licensing Notice</w:t>
      </w:r>
      <w:r>
        <w:rPr>
          <w:rFonts w:ascii="Times New Roman" w:cs="Times New Roman" w:eastAsia="Times New Roman" w:hAnsi="Times New Roman"/>
          <w:sz w:val="18"/>
          <w:szCs w:val="18"/>
          <w:color w:val="auto"/>
        </w:rPr>
        <w:t>”). In the event that the Holder receives a Restricted German IP Licensing Notice from the Company, the Holder shall have the right to require the Company to redeem a portion of the then outstanding Principal Amount of this Note not exceeding thirteen million seven hundred fifty thousand dollars ($13,750,000)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for a cash redemption price equal to the Holder Redemption Price. In the event that the Holder elects to exercise a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it shall deliver written notice thereof to the Company (a “</w:t>
      </w:r>
      <w:r>
        <w:rPr>
          <w:rFonts w:ascii="Times New Roman" w:cs="Times New Roman" w:eastAsia="Times New Roman" w:hAnsi="Times New Roman"/>
          <w:sz w:val="18"/>
          <w:szCs w:val="18"/>
          <w:b w:val="1"/>
          <w:bCs w:val="1"/>
          <w:color w:val="auto"/>
        </w:rPr>
        <w:t>Holder Redemption Notice</w:t>
      </w:r>
      <w:r>
        <w:rPr>
          <w:rFonts w:ascii="Times New Roman" w:cs="Times New Roman" w:eastAsia="Times New Roman" w:hAnsi="Times New Roman"/>
          <w:sz w:val="18"/>
          <w:szCs w:val="18"/>
          <w:color w:val="auto"/>
        </w:rPr>
        <w:t xml:space="preserve">”), which notice shall state the outstanding Principal Amount of this Note to be redeemed (which amount shall not exceed thirteen million seven hundred fifty thousand dollars ($13,750,000)). On the Holder Redemption Date, the Company shall pay the Holder Redemption Price by wire transfer of immediately available funds to the account of the Holder as set forth in a written notice of an account of such Holder delivered by the Holder to the Company at least three (3) Business Days before the Holder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licensing, sublicensing, assignment, transfer, or grant of rights includes any upfront payment or fee to be received by the Company or any of its Subsidiaries in connection with the completion of such transaction, the Company shall pay to the Holder, within three (3) Business Days of the receipt of such upfront payment or fee, an amount equal to fifty percent (50%) of such upfront payment or fee (but not to exceed thirteen million seven hundred fifty thousand dollars ($13,750,000)) as partial payment of the Holder Redemption Price, and the balance of the Holder Redemption Price shall be paid on the Holder Redemption Date.</w:t>
      </w:r>
    </w:p>
    <w:p>
      <w:pPr>
        <w:spacing w:after="0" w:line="189" w:lineRule="exact"/>
        <w:rPr>
          <w:rFonts w:ascii="Times New Roman" w:cs="Times New Roman" w:eastAsia="Times New Roman" w:hAnsi="Times New Roman"/>
          <w:sz w:val="18"/>
          <w:szCs w:val="18"/>
          <w:color w:val="auto"/>
        </w:rPr>
      </w:pPr>
    </w:p>
    <w:p>
      <w:pPr>
        <w:ind w:left="4" w:firstLine="644"/>
        <w:spacing w:after="0" w:line="286" w:lineRule="auto"/>
        <w:tabs>
          <w:tab w:leader="none" w:pos="92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Note is to be redeemed in full pursuant to this </w:t>
      </w:r>
      <w:r>
        <w:rPr>
          <w:rFonts w:ascii="Times New Roman" w:cs="Times New Roman" w:eastAsia="Times New Roman" w:hAnsi="Times New Roman"/>
          <w:sz w:val="18"/>
          <w:szCs w:val="18"/>
          <w:b w:val="1"/>
          <w:bCs w:val="1"/>
          <w:color w:val="auto"/>
        </w:rPr>
        <w:t>Section 4(F)</w:t>
      </w:r>
      <w:r>
        <w:rPr>
          <w:rFonts w:ascii="Times New Roman" w:cs="Times New Roman" w:eastAsia="Times New Roman" w:hAnsi="Times New Roman"/>
          <w:sz w:val="18"/>
          <w:szCs w:val="18"/>
          <w:color w:val="auto"/>
        </w:rPr>
        <w:t>, then, from and after the date the related Holder Redemption Price is paid in full, this Note will cease to be outstanding.</w:t>
      </w:r>
    </w:p>
    <w:p>
      <w:pPr>
        <w:spacing w:after="0" w:line="26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Section 5. M</w:t>
      </w:r>
      <w:r>
        <w:rPr>
          <w:rFonts w:ascii="Times New Roman" w:cs="Times New Roman" w:eastAsia="Times New Roman" w:hAnsi="Times New Roman"/>
          <w:sz w:val="12"/>
          <w:szCs w:val="12"/>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2"/>
          <w:szCs w:val="12"/>
          <w:b w:val="1"/>
          <w:bCs w:val="1"/>
          <w:color w:val="auto"/>
        </w:rPr>
        <w:t>ross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mounts</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ndemnity</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95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all cash amounts due under this Note by wire transfer of immediately available funds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Holder as set forth in a written notice of an account of such Holder delivered by the Holder to the Company at least one (1) Business Day before the date such amount is due.</w:t>
      </w:r>
    </w:p>
    <w:p>
      <w:pPr>
        <w:spacing w:after="0" w:line="173" w:lineRule="exact"/>
        <w:rPr>
          <w:rFonts w:ascii="Times New Roman" w:cs="Times New Roman" w:eastAsia="Times New Roman" w:hAnsi="Times New Roman"/>
          <w:sz w:val="18"/>
          <w:szCs w:val="18"/>
          <w:color w:val="auto"/>
        </w:rPr>
      </w:pPr>
    </w:p>
    <w:p>
      <w:pPr>
        <w:jc w:val="both"/>
        <w:ind w:firstLine="656"/>
        <w:spacing w:after="0" w:line="253" w:lineRule="auto"/>
        <w:tabs>
          <w:tab w:leader="none" w:pos="93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Up; Additional Amounts. </w:t>
      </w:r>
      <w:r>
        <w:rPr>
          <w:rFonts w:ascii="Times New Roman" w:cs="Times New Roman" w:eastAsia="Times New Roman" w:hAnsi="Times New Roman"/>
          <w:sz w:val="18"/>
          <w:szCs w:val="18"/>
          <w:color w:val="auto"/>
        </w:rPr>
        <w:t>All payments to be made by the Company under this Note (including, for the avoidance of doubt, 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interest, the Fundamental Change Repurchase Price, the Company Redemption Price, the Holder Redemption Price, Partial Redemption Payments, Cash Sweep Payments, the Event of Default Acceleration Amount, and any Conversion Consideration) shall be made without withholding or deduction for, or on account of, any present or future taxes, duties, assessments or other governmental charges of any nature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imposed, levied, collected, withheld or assessed by or on behalf of Switzerland or any political subdivision thereof or any authority of or in Switzerland having the power to impose, levy, collect, withhold or assess Taxes, unless such withholding or deduction is required by law. It is the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assumption of the parties that no Swiss Withholding Tax applies to any payments under this Note; provided, that if and to the extent that Swiss Withholding Tax or any other Tax nevertheless becomes applicable to any payment under this Note, the Company shall pay such additional amounts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as will result in the Holder receiving the amounts that it would have received pursuant to this Note if no such withholding or deduction had been required; provided, however, that no Additional Amounts shall be payable (i) to the extent such Taxes are imposed as a result of the Holder’s failure to comply with any certification, identification, information, documentation or other reporting requirements, if compliance is required by law, regulation, administrative practice or an applicable treaty as a precondition to exemption from, or reduction in the rate of, such Taxes or (ii) to the extent such Taxes are imposed as a result of any transfer, assignment or other disposition of this Note or any interest herein by the Holder in violation of any transfer restrictions set forth in this Note or in the Securities Purchase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Section 5(C)</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for any Swiss Withholding Tax being levied on the Company on any Ordinary Shares issued or delivered pursuant to this Note, if and to the extent such Withholding Tax is shifted to the Holder, in which case the Company shall pay such Additional Amounts as will result in the Holder being placed in the same situation as if no such Withholding Tax would have been shifted to it. For the avoidance of doubt, if any Swiss Withholding Tax results in a reduction of the number of Ordinary Shares deliverable to the Holder pursuant to this Note (whether by way of withholding of shares, reduction of the conversion ratio, or otherwise), the Company shall compensate the Holder by delivering such additional number of Ordinary Shares as is necessary to ensure that the Holder receives the same number of Ordinary Shares it would have received absent such Swiss Withholding Tax, or, if and to the extent the delivery of additional Ordinary Shares is not legally permissible or practicable, by paying to the Holder a cash amount equal to the value of such shortfall in Ordinary Shares, calculated based on the Daily VWAP on the applicable Conversion Date. For the sake of completeness, no Additional Amounts shall be payable (i) to the extent such Taxes are imposed as a result of the Holder’s failure to comply with any certification, identification, information, documentation or other reporting requirements, if compliance is required by law, regulation, administrative practice or an applicable treaty as a precondition to exemption from, or reduction in the rate of, such Taxes or (ii) to the extent such Taxes are imposed as a result of any transfer, assignment or other disposition of this Note or any interest herein by the Holder in violation of any transfer restrictions set forth in this Note or in the Securities Purchase Agreement.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6" w:name="page157"/>
    <w:bookmarkEnd w:id="156"/>
    <w:p>
      <w:pPr>
        <w:jc w:val="both"/>
        <w:ind w:firstLine="656"/>
        <w:spacing w:after="0" w:line="253" w:lineRule="auto"/>
        <w:tabs>
          <w:tab w:leader="none" w:pos="94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Indemnity. </w:t>
      </w:r>
      <w:r>
        <w:rPr>
          <w:rFonts w:ascii="Times New Roman" w:cs="Times New Roman" w:eastAsia="Times New Roman" w:hAnsi="Times New Roman"/>
          <w:sz w:val="18"/>
          <w:szCs w:val="18"/>
          <w:color w:val="auto"/>
        </w:rPr>
        <w:t>Without prejudice to the foregoing, the Company shall indemnify and hold harmless the Holder from and against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losses, costs, damages and expenses (including, without limitation, reasonable legal fees and any Taxes, penalties and interest and including, for the avoidance of doubt, a reduction of the number of Ordinary Shares deliverable to the Holder pursuant to this Note) which the Holder may suffer or incur as a result of or in connection with (i) any Swiss Withholding Tax or other Tax being imposed on or withheld from any payment under this Note or in connection with any Ordinary Shares issued or delivered pursuant to this Note, (ii) any failure by the Company to comply with the Swiss Non-Bank Rules or any other requirement under Swiss tax law resulting in Swiss Withholding Tax becoming applicable to this Note or the payments or any action hereunder, or (iii) any breach by the Company of any representation, warranty or covenant contained in this Note relating to Taxes; provided, however, that this indemnity shall not apply to the extent that such liabilities, losses, costs, damages or expenses (A) have already been compensated by the payment of Additional Amounts pursuant to this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(B) arise as a result of the Holder’s failure to comply with any certification, identification, information, documentation or other reporting requirements applicable to the Holder or (C) arise as a result of any transfer, assignment or other disposition of this Note or any interest herein by the Holder in violation of any transfer restrictions set forth in this Note or in the Securities Purchase Agreement. Any amounts payable by the Company pursuant to this indemnity shall be paid within ten (10) Business Days of written demand by the Holder, accompanied by reasonable documentation evidencing such liabilities, losses, costs, damages or expenses.</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2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Company’s Election to Pay Partial Redemption Payments in Cash or Ordinary Shares</w:t>
      </w:r>
      <w:r>
        <w:rPr>
          <w:rFonts w:ascii="Times New Roman" w:cs="Times New Roman" w:eastAsia="Times New Roman" w:hAnsi="Times New Roman"/>
          <w:sz w:val="18"/>
          <w:szCs w:val="18"/>
          <w:color w:val="auto"/>
        </w:rPr>
        <w:t>. At least fifteen (15) Trading Days (but no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 (20) Trading Days) prior to a Partial Redemption Date, solely at the Company’s option, the Company, if it desires to elect, may elect to make a Partial Redemption Payment with respect to such Partial Redemption Date entirely or partially in Ordinary Shares, by delivering to the Holder a written notice of such election, which notice shall (i) state which portion of the applicable Partial Redemption Payment the Company has elected to pay in Ordinary Shares (provided that such amount may only be in an Authorized Denomination), (ii) certify that the Equity Conditions are satisfied as of such date and (iii) specify whether such Ordinary Shares to be delivered shall be issued out of the Company’s conditional capital or the Company’s capital band, delivered out of the Company’s treasury shares, or purchased by the Company on the open market for delivery to the Holder (provided that, if the Company fails to include such specification on or after the Conditional Capital Amendment Effective Date, such Ordinary Shares to be delivered shall be deemed to be issued out of the Company’s conditional capital) (a “</w:t>
      </w:r>
      <w:r>
        <w:rPr>
          <w:rFonts w:ascii="Times New Roman" w:cs="Times New Roman" w:eastAsia="Times New Roman" w:hAnsi="Times New Roman"/>
          <w:sz w:val="18"/>
          <w:szCs w:val="18"/>
          <w:b w:val="1"/>
          <w:bCs w:val="1"/>
          <w:color w:val="auto"/>
        </w:rPr>
        <w:t>Partial Redemption Share Payment Notice</w:t>
      </w:r>
      <w:r>
        <w:rPr>
          <w:rFonts w:ascii="Times New Roman" w:cs="Times New Roman" w:eastAsia="Times New Roman" w:hAnsi="Times New Roman"/>
          <w:sz w:val="18"/>
          <w:szCs w:val="18"/>
          <w:color w:val="auto"/>
        </w:rPr>
        <w:t xml:space="preserve">”) (and such election shall be irrevocable as to such Partial Redemption Date). Failure to timely deliver such written notice and certification to the Holder shall be deemed an irrevocable election by the Company to pay the Partial Redemption Payment with respect to such Partial Redemption Date in cash. With respect to any Partial Redemption Date for which the Company has elected to make a Partial Redemption Payment (or any applicable portion thereof) in Ordinary Shares in accordance with this </w:t>
      </w:r>
      <w:r>
        <w:rPr>
          <w:rFonts w:ascii="Times New Roman" w:cs="Times New Roman" w:eastAsia="Times New Roman" w:hAnsi="Times New Roman"/>
          <w:sz w:val="18"/>
          <w:szCs w:val="18"/>
          <w:b w:val="1"/>
          <w:bCs w:val="1"/>
          <w:color w:val="auto"/>
        </w:rPr>
        <w:t>Section 5(E)</w:t>
      </w:r>
      <w:r>
        <w:rPr>
          <w:rFonts w:ascii="Times New Roman" w:cs="Times New Roman" w:eastAsia="Times New Roman" w:hAnsi="Times New Roman"/>
          <w:sz w:val="18"/>
          <w:szCs w:val="18"/>
          <w:color w:val="auto"/>
        </w:rPr>
        <w:t>, the Holder shall have the right to convert such Partial Redemption Payment (or any applicable portion thereof) into Ordinary Shares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at any time and from time to time on or after such Partial Redemption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57" w:name="page158"/>
    <w:bookmarkEnd w:id="15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allocating all or any portion of any applicable Partial Redemption Payment to any Conversion Date. Notwithstanding anything herein to the contrary, the Company will not have the right to, and will not, make any Partial Redemption Payment (or any applicable portion thereof) in Ordinary Shares if the Equity Conditions are not satisfied for each VWAP Trading Day occurring between the date of delivery of the Partial Redemption Share Payment Notice and the applicable Conversion Settlement Date (and the Company shall certify in writing to the Holder on the applicable Conversion Settlement Date that the Equity Conditions have continued to have been satisfied during such period) and such Partial Redemption Payment (or any applicable portion thereof) shall instead be satisfied by paying in cash an amount equal to one hundred percent (100%) of the amount of such Partial Redemption Payment (or any applicable portion thereof) that the Company has elected to pay in Ordinary Shares, together with the payment of any Default Interest corresponding to such Partial Redemption Payment (or portion thereof, if applicable), on the Business Day immediately following the calendar day on which such failure to satisfy the Equity Conditions occurred, in accordance with </w:t>
      </w:r>
      <w:r>
        <w:rPr>
          <w:rFonts w:ascii="Times New Roman" w:cs="Times New Roman" w:eastAsia="Times New Roman" w:hAnsi="Times New Roman"/>
          <w:sz w:val="18"/>
          <w:szCs w:val="18"/>
          <w:b w:val="1"/>
          <w:bCs w:val="1"/>
          <w:color w:val="auto"/>
        </w:rPr>
        <w:t>Section 5(A)</w:t>
      </w:r>
      <w:r>
        <w:rPr>
          <w:rFonts w:ascii="Times New Roman" w:cs="Times New Roman" w:eastAsia="Times New Roman" w:hAnsi="Times New Roman"/>
          <w:sz w:val="18"/>
          <w:szCs w:val="18"/>
          <w:color w:val="auto"/>
        </w:rPr>
        <w:t>, unless such failure of the Equity Conditions to be so satisfied is waived in writing by the Holder, which waiver may be granted or withheld by the Holder in its sole discretion.</w:t>
      </w:r>
    </w:p>
    <w:p>
      <w:pPr>
        <w:spacing w:after="0" w:line="192" w:lineRule="exact"/>
        <w:rPr>
          <w:sz w:val="20"/>
          <w:szCs w:val="20"/>
          <w:color w:val="auto"/>
        </w:rPr>
      </w:pPr>
    </w:p>
    <w:p>
      <w:pPr>
        <w:jc w:val="both"/>
        <w:ind w:firstLine="656"/>
        <w:spacing w:after="0" w:line="267" w:lineRule="auto"/>
        <w:tabs>
          <w:tab w:leader="none" w:pos="92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this Note as provided in this Note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then, notwithstanding anything to the contrary in this Note, such payment may be made on the immediately following Business Day and no interest will accrue on such payment as a result of the related delay.</w:t>
      </w:r>
    </w:p>
    <w:p>
      <w:pPr>
        <w:spacing w:after="0" w:line="173" w:lineRule="exact"/>
        <w:rPr>
          <w:rFonts w:ascii="Times New Roman" w:cs="Times New Roman" w:eastAsia="Times New Roman" w:hAnsi="Times New Roman"/>
          <w:sz w:val="18"/>
          <w:szCs w:val="18"/>
          <w:color w:val="auto"/>
        </w:rPr>
      </w:pPr>
    </w:p>
    <w:p>
      <w:pPr>
        <w:jc w:val="both"/>
        <w:ind w:firstLine="656"/>
        <w:spacing w:after="0" w:line="252" w:lineRule="auto"/>
        <w:tabs>
          <w:tab w:leader="none" w:pos="9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 of Default Share Payments</w:t>
      </w:r>
      <w:r>
        <w:rPr>
          <w:rFonts w:ascii="Times New Roman" w:cs="Times New Roman" w:eastAsia="Times New Roman" w:hAnsi="Times New Roman"/>
          <w:sz w:val="18"/>
          <w:szCs w:val="18"/>
          <w:color w:val="auto"/>
        </w:rPr>
        <w:t>. If an Event of Default occurs and the Company fails to pay the Event of Default Acceleration Amount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in accordance with this Note, then the Holder may elect to receive such unpaid portion of the Event of Default Acceleration Amount, entirely or partially, in Ordinary Shares (an “</w:t>
      </w:r>
      <w:r>
        <w:rPr>
          <w:rFonts w:ascii="Times New Roman" w:cs="Times New Roman" w:eastAsia="Times New Roman" w:hAnsi="Times New Roman"/>
          <w:sz w:val="18"/>
          <w:szCs w:val="18"/>
          <w:b w:val="1"/>
          <w:bCs w:val="1"/>
          <w:color w:val="auto"/>
        </w:rPr>
        <w:t>Event of Default Share Payment</w:t>
      </w:r>
      <w:r>
        <w:rPr>
          <w:rFonts w:ascii="Times New Roman" w:cs="Times New Roman" w:eastAsia="Times New Roman" w:hAnsi="Times New Roman"/>
          <w:sz w:val="18"/>
          <w:szCs w:val="18"/>
          <w:color w:val="auto"/>
        </w:rPr>
        <w:t>”), and shall deliver to the Company a written notice of such election (an “</w:t>
      </w:r>
      <w:r>
        <w:rPr>
          <w:rFonts w:ascii="Times New Roman" w:cs="Times New Roman" w:eastAsia="Times New Roman" w:hAnsi="Times New Roman"/>
          <w:sz w:val="18"/>
          <w:szCs w:val="18"/>
          <w:b w:val="1"/>
          <w:bCs w:val="1"/>
          <w:color w:val="auto"/>
        </w:rPr>
        <w:t>Event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Default Share Payment Notice</w:t>
      </w:r>
      <w:r>
        <w:rPr>
          <w:rFonts w:ascii="Times New Roman" w:cs="Times New Roman" w:eastAsia="Times New Roman" w:hAnsi="Times New Roman"/>
          <w:sz w:val="18"/>
          <w:szCs w:val="18"/>
          <w:color w:val="auto"/>
        </w:rPr>
        <w:t>”) stating which portion thereof the Holder has elected to receive in Ordinary Shares and specifying whether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elects to receive such Ordinary Shares from the Company’s treasury shares or, on or after the Conditional Capital Amendment Effective Date, conditional capital, it being understood that if the Holder elects to convert a portion of the Event of Default Acceleration Amount into an Event of Default Share Payment to be issued out of the Company’s conditional capital, the Event of Default Share Payment Notice shall refer to article 3a in the Company’s articles of association out of which such Ordinary Shares shall be issued. For the avoidance of doubt, the Holder may not elect delivery of the Event of Default Share Payment out of the Company’s conditional share capital before the Conditional Capital Amendment Effective Date and, thus, no right to convert any portion of an Event of Default Acceleration Amount into an Event of Default Share Payment to be delivered out of the Company’s conditional share capital shall exist, unless the Company has sufficient conditional share capital out of which the Event of Default Share Payment may be issued and delivered. On or before the first (1st) Business Day following the date of delivery of any Event of Default Share Payment Notice hereunder (the “</w:t>
      </w:r>
      <w:r>
        <w:rPr>
          <w:rFonts w:ascii="Times New Roman" w:cs="Times New Roman" w:eastAsia="Times New Roman" w:hAnsi="Times New Roman"/>
          <w:sz w:val="18"/>
          <w:szCs w:val="18"/>
          <w:b w:val="1"/>
          <w:bCs w:val="1"/>
          <w:color w:val="auto"/>
        </w:rPr>
        <w:t>Event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Default Share Payment Delivery Date</w:t>
      </w:r>
      <w:r>
        <w:rPr>
          <w:rFonts w:ascii="Times New Roman" w:cs="Times New Roman" w:eastAsia="Times New Roman" w:hAnsi="Times New Roman"/>
          <w:sz w:val="18"/>
          <w:szCs w:val="18"/>
          <w:color w:val="auto"/>
        </w:rPr>
        <w:t>”), the Company shall issue and deliver to the Holder, a number of validly issued, fully paid and Freely Tradable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Ordinary Shares equal to the quotient (rounded up to the closest whole number) obtained by dividing the Event of Default Acceleration Amount (or applicable portion thereof) by the Market Share Payment Price as of the date of delivery of the Event of Default Share Payment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fails to timely issue and deliver to the Holder such Ordinary Shares, then the Holder may revoke its election to receive Ordinary Shares and elect to receive such Event of Default Acceleration Amount (or any portion thereof) in cash at any time prior to delivery of such Ordinary Shares. Any portion of the Event of Default Acceleration Amount not paid in Ordinary Shares because the Holder did not elect, or effectively revoked its election, to receive Ordinary Shares for such Event of Default Acceleration Amount (or applicable portion thereof) will be paid in cash; provided, that the Holder may deliver multiple Event of Default Share Payment Notices in accordance with this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 xml:space="preserve"> to the extent that any portion of the Event of Default Acceleration Amount remains unpaid when due in accordance with this Note.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Section 6. R</w:t>
      </w:r>
      <w:r>
        <w:rPr>
          <w:rFonts w:ascii="Times New Roman" w:cs="Times New Roman" w:eastAsia="Times New Roman" w:hAnsi="Times New Roman"/>
          <w:sz w:val="12"/>
          <w:szCs w:val="12"/>
          <w:b w:val="1"/>
          <w:bCs w:val="1"/>
          <w:color w:val="auto"/>
        </w:rPr>
        <w:t>equired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 upon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68" w:lineRule="auto"/>
        <w:tabs>
          <w:tab w:leader="none" w:pos="94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Upon Fundamental Change</w:t>
      </w:r>
      <w:r>
        <w:rPr>
          <w:rFonts w:ascii="Times New Roman" w:cs="Times New Roman" w:eastAsia="Times New Roman" w:hAnsi="Times New Roman"/>
          <w:sz w:val="18"/>
          <w:szCs w:val="18"/>
          <w:color w:val="auto"/>
        </w:rPr>
        <w:t>. Subject to the other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if a Fundamental Change occurs, then the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to require the Company to repurchase this Note (or any portion of this Note in an Authorized Denomination) on the Fundamental Change Repurchase Date for such Fundamental Change for a cash purchase price equal to the Fundamental Change Repurchase Price.</w:t>
      </w:r>
    </w:p>
    <w:p>
      <w:pPr>
        <w:spacing w:after="0" w:line="172" w:lineRule="exact"/>
        <w:rPr>
          <w:rFonts w:ascii="Times New Roman" w:cs="Times New Roman" w:eastAsia="Times New Roman" w:hAnsi="Times New Roman"/>
          <w:sz w:val="18"/>
          <w:szCs w:val="18"/>
          <w:color w:val="auto"/>
        </w:rPr>
      </w:pPr>
    </w:p>
    <w:p>
      <w:pPr>
        <w:jc w:val="both"/>
        <w:ind w:firstLine="656"/>
        <w:spacing w:after="0" w:line="267" w:lineRule="auto"/>
        <w:tabs>
          <w:tab w:leader="none" w:pos="93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Date</w:t>
      </w:r>
      <w:r>
        <w:rPr>
          <w:rFonts w:ascii="Times New Roman" w:cs="Times New Roman" w:eastAsia="Times New Roman" w:hAnsi="Times New Roman"/>
          <w:sz w:val="18"/>
          <w:szCs w:val="18"/>
          <w:color w:val="auto"/>
        </w:rPr>
        <w:t>. The Fundamental Change Repurchase Date for any Fundamental Change will be a Business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Holder’s choosing that is no more than twenty (20) Business Days after the later of (x) the date the Company delivers to the Holder the related Fundamental Change Notice pursuant to </w:t>
      </w:r>
      <w:r>
        <w:rPr>
          <w:rFonts w:ascii="Times New Roman" w:cs="Times New Roman" w:eastAsia="Times New Roman" w:hAnsi="Times New Roman"/>
          <w:sz w:val="18"/>
          <w:szCs w:val="18"/>
          <w:b w:val="1"/>
          <w:bCs w:val="1"/>
          <w:color w:val="auto"/>
        </w:rPr>
        <w:t>Section 6(C)</w:t>
      </w:r>
      <w:r>
        <w:rPr>
          <w:rFonts w:ascii="Times New Roman" w:cs="Times New Roman" w:eastAsia="Times New Roman" w:hAnsi="Times New Roman"/>
          <w:sz w:val="18"/>
          <w:szCs w:val="18"/>
          <w:color w:val="auto"/>
        </w:rPr>
        <w:t>; and (y) the effective date of such Fundamental Change.</w:t>
      </w:r>
    </w:p>
    <w:p>
      <w:pPr>
        <w:spacing w:after="0" w:line="173" w:lineRule="exact"/>
        <w:rPr>
          <w:rFonts w:ascii="Times New Roman" w:cs="Times New Roman" w:eastAsia="Times New Roman" w:hAnsi="Times New Roman"/>
          <w:sz w:val="18"/>
          <w:szCs w:val="18"/>
          <w:color w:val="auto"/>
        </w:rPr>
      </w:pPr>
    </w:p>
    <w:p>
      <w:pPr>
        <w:jc w:val="both"/>
        <w:ind w:firstLine="656"/>
        <w:spacing w:after="0" w:line="262" w:lineRule="auto"/>
        <w:tabs>
          <w:tab w:leader="none" w:pos="9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Notice</w:t>
      </w:r>
      <w:r>
        <w:rPr>
          <w:rFonts w:ascii="Times New Roman" w:cs="Times New Roman" w:eastAsia="Times New Roman" w:hAnsi="Times New Roman"/>
          <w:sz w:val="18"/>
          <w:szCs w:val="18"/>
          <w:color w:val="auto"/>
        </w:rPr>
        <w:t>. No later than the tenth (10th) Business Day before the occurrence of any Fundamental Change,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send to the Holder a written notice (the “</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 thereof (provided, however, in no event shall such notice be required prior to</w:t>
      </w:r>
    </w:p>
    <w:p>
      <w:pPr>
        <w:jc w:val="both"/>
        <w:spacing w:after="0" w:line="221" w:lineRule="auto"/>
        <w:rPr>
          <w:sz w:val="20"/>
          <w:szCs w:val="20"/>
          <w:color w:val="auto"/>
        </w:rPr>
      </w:pPr>
      <w:r>
        <w:rPr>
          <w:rFonts w:ascii="Times New Roman" w:cs="Times New Roman" w:eastAsia="Times New Roman" w:hAnsi="Times New Roman"/>
          <w:sz w:val="18"/>
          <w:szCs w:val="18"/>
          <w:color w:val="auto"/>
        </w:rPr>
        <w:t>the actual public announcement of such Fundamental Change), stating the expected date such Fundamental Change will occur. No later than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delivery of the Fundamental Change Notice, the Holder shall notify the Company in writing whether it will require the Company to repurchase this Note and specify the Fundamental Change Repurchase Date.</w:t>
      </w:r>
    </w:p>
    <w:p>
      <w:pPr>
        <w:spacing w:after="0" w:line="196" w:lineRule="exact"/>
        <w:rPr>
          <w:sz w:val="20"/>
          <w:szCs w:val="20"/>
          <w:color w:val="auto"/>
        </w:rPr>
      </w:pPr>
    </w:p>
    <w:p>
      <w:pPr>
        <w:jc w:val="both"/>
        <w:ind w:right="20" w:firstLine="656"/>
        <w:spacing w:after="0" w:line="267" w:lineRule="auto"/>
        <w:tabs>
          <w:tab w:leader="none" w:pos="94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Repurchase</w:t>
      </w:r>
      <w:r>
        <w:rPr>
          <w:rFonts w:ascii="Times New Roman" w:cs="Times New Roman" w:eastAsia="Times New Roman" w:hAnsi="Times New Roman"/>
          <w:sz w:val="18"/>
          <w:szCs w:val="18"/>
          <w:color w:val="auto"/>
        </w:rPr>
        <w:t>. If this Note (or any portion of this Note) is to be repurchased upon a Repurchase Upon Fundamental Change, then,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after the date the related Fundamental Change Repurchase Price is paid in full, this Note (or such portion) will cease to be outstanding and interest will cease to accrue on this Note (or such portion).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960" w:hanging="304"/>
        <w:spacing w:after="0"/>
        <w:tabs>
          <w:tab w:leader="none" w:pos="9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Convert Upon Receipt of Partial Redemption Share Payment Notice</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52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each time, if any, that the Holder receives a Partial Redemption Share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the Holder may convert the applicable portion of the Partial Redemption Payment for which the Partial Redemption Share Payment Notice was given into Conversion Consideration. For the avoidance of doubt, the Company may not elect delivery of Consideration Shares out of the Company’s conditional share capital before the Conditional Capital Amendment Effective Date and, thus, no right to convert a Partial Redemption Payment into Consideration Shares to be delivered out of the Company’s conditional share capital shall exist, unless the Company has sufficient conditional share capital out of which the Ordinary Shares pursuant to the applicable Partial Redemption Payment may be issued and delivered.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spacing w:after="0" w:line="2" w:lineRule="exact"/>
        <w:rPr>
          <w:sz w:val="20"/>
          <w:szCs w:val="20"/>
          <w:color w:val="auto"/>
        </w:rPr>
      </w:pPr>
    </w:p>
    <w:p>
      <w:pPr>
        <w:jc w:val="both"/>
        <w:ind w:left="4" w:firstLine="644"/>
        <w:spacing w:after="0" w:line="267" w:lineRule="auto"/>
        <w:tabs>
          <w:tab w:leader="none" w:pos="957"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Denomination. Provisions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portion of this Note.</w:t>
      </w:r>
    </w:p>
    <w:p>
      <w:pPr>
        <w:spacing w:after="0" w:line="17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this Note May Be Converted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firstLine="22"/>
        <w:spacing w:after="0" w:line="286" w:lineRule="auto"/>
        <w:rPr>
          <w:sz w:val="20"/>
          <w:szCs w:val="20"/>
          <w:color w:val="auto"/>
        </w:rPr>
      </w:pPr>
      <w:r>
        <w:rPr>
          <w:rFonts w:ascii="Times New Roman" w:cs="Times New Roman" w:eastAsia="Times New Roman" w:hAnsi="Times New Roman"/>
          <w:sz w:val="18"/>
          <w:szCs w:val="18"/>
          <w:color w:val="auto"/>
        </w:rPr>
        <w:t xml:space="preserve">to the terms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this Note may be converted in part, but only in an Authorized applying to the conversion of this Note in whole will equally apply to conversions of any permitted</w:t>
      </w:r>
    </w:p>
    <w:p>
      <w:pPr>
        <w:spacing w:after="0" w:line="779" w:lineRule="exact"/>
        <w:rPr>
          <w:sz w:val="20"/>
          <w:szCs w:val="20"/>
          <w:color w:val="auto"/>
        </w:rPr>
      </w:pPr>
    </w:p>
    <w:p>
      <w:pPr>
        <w:sectPr>
          <w:pgSz w:w="11900" w:h="16838" w:orient="portrait"/>
          <w:cols w:equalWidth="0" w:num="2">
            <w:col w:w="3164" w:space="60"/>
            <w:col w:w="7360"/>
          </w:cols>
          <w:pgMar w:left="976" w:top="765" w:right="339" w:bottom="1440" w:gutter="0" w:footer="0" w:header="0"/>
        </w:sectPr>
      </w:pPr>
    </w:p>
    <w:p>
      <w:pPr>
        <w:spacing w:after="0" w:line="25" w:lineRule="exact"/>
        <w:rPr>
          <w:sz w:val="20"/>
          <w:szCs w:val="20"/>
          <w:color w:val="auto"/>
        </w:rPr>
      </w:pPr>
    </w:p>
    <w:p>
      <w:pPr>
        <w:jc w:val="both"/>
        <w:ind w:left="4" w:firstLine="644"/>
        <w:spacing w:after="0" w:line="258" w:lineRule="auto"/>
        <w:tabs>
          <w:tab w:leader="none" w:pos="86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Upon receipt of a Partial Redemption Share Payment Notice, the Holder may convert the Partial Redemption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applicable portion thereof) at any time on or after the Partial Redemption Date with respect to which the Partial Redemption Share Payment Notice was delivered until the Close of Business on the first (1st) Scheduled Trading Day (or, if later, the standard settlement period for the primary Eligible Exchange (measured in terms of trading volume for its Ordinary Shares) on which the Ordinary Shares is traded) immediately before the Maturity Date.</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9" w:lineRule="auto"/>
        <w:tabs>
          <w:tab w:leader="none" w:pos="91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and Closed Periods</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if this Note (or any portion of this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to be repurchased upon a Repurchase Upon Fundamental Change, then in no event may this Note (or such portion) be converted after the Close of Business on the Scheduled Trading Day immediately before the related Fundamental Change Repurchase Date; provided, that the limitations contained in this </w:t>
      </w:r>
      <w:r>
        <w:rPr>
          <w:rFonts w:ascii="Times New Roman" w:cs="Times New Roman" w:eastAsia="Times New Roman" w:hAnsi="Times New Roman"/>
          <w:sz w:val="18"/>
          <w:szCs w:val="18"/>
          <w:b w:val="1"/>
          <w:bCs w:val="1"/>
          <w:color w:val="auto"/>
        </w:rPr>
        <w:t>Section 7(B)(ii)</w:t>
      </w:r>
      <w:r>
        <w:rPr>
          <w:rFonts w:ascii="Times New Roman" w:cs="Times New Roman" w:eastAsia="Times New Roman" w:hAnsi="Times New Roman"/>
          <w:sz w:val="18"/>
          <w:szCs w:val="18"/>
          <w:color w:val="auto"/>
        </w:rPr>
        <w:t xml:space="preserve"> shall no longer apply to this Note (or such applicable portion) if the applicable Fundamental Change Repurchase Price is not delivered on the Fundamental Change Repurchase Date in accordance with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8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convert this Note, the Holder must complete, sign and deliver to the Company the conversion notice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or portable document format (.pdf) version of such conversion notice (at which time such conversion will become irrevocable) (a “</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For the avoidance of doubt, the Holder Conversion Notice may be delivered by e-mail in accordance with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If the Company fails to deliver, by the related Conversion Settlement Date, any Ordinary Shares forming part of the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of the conversion of this Note, the Holder, by notice to the Company, may rescind all or any portion of the corresponding Holder Conversion Notice at any time until such Undelivered Shares are delivered.</w:t>
      </w:r>
    </w:p>
    <w:p>
      <w:pPr>
        <w:spacing w:after="0" w:line="182"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3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Consideration</w:t>
      </w:r>
      <w:r>
        <w:rPr>
          <w:rFonts w:ascii="Times New Roman" w:cs="Times New Roman" w:eastAsia="Times New Roman" w:hAnsi="Times New Roman"/>
          <w:sz w:val="18"/>
          <w:szCs w:val="18"/>
          <w:color w:val="auto"/>
        </w:rPr>
        <w:t>. The person in whose name any Ordinary Shares are issuable pursuant to this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be deemed to become the holder of record of such shares as of the Close of Business on the applicable Event of Default Share Payment Date or Conversion Date for such conversion, conferring, as of such time, upon such person, without limitation, all voting and other rights appurtenant to such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Holder shall be deemed to have waived any voting rights of any such Ordinary Shares issued to the Holder that may arise during the period commencing on such Conversion Date or Event of Default Share Payment Date (as applicable), through, and including, such applicable Conversion Settlement Date or Event of Default Share Payment Delivery Date, as necessary, such that the aggregate voting rights of any Ordinary Shares (including such Ordinary Shares issued to the Holder) beneficially owned by the Holder and/or any Attribution Parties, collectively, shall not exceed the Maximum Percentage as a result of any such conversion of this Note.</w:t>
      </w:r>
    </w:p>
    <w:p>
      <w:pPr>
        <w:spacing w:after="0" w:line="29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type w:val="continuous"/>
        </w:sectPr>
      </w:pPr>
    </w:p>
    <w:bookmarkStart w:id="160" w:name="page161"/>
    <w:bookmarkEnd w:id="160"/>
    <w:p>
      <w:pPr>
        <w:jc w:val="both"/>
        <w:ind w:left="4" w:firstLine="644"/>
        <w:spacing w:after="0" w:line="257" w:lineRule="auto"/>
        <w:tabs>
          <w:tab w:leader="none" w:pos="96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and Duties. </w:t>
      </w:r>
      <w:r>
        <w:rPr>
          <w:rFonts w:ascii="Times New Roman" w:cs="Times New Roman" w:eastAsia="Times New Roman" w:hAnsi="Times New Roman"/>
          <w:sz w:val="18"/>
          <w:szCs w:val="18"/>
          <w:color w:val="auto"/>
        </w:rPr>
        <w:t>The Company will pay any documentary, stamp or similar issue or transfer tax or duty due on the issue or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any Ordinary Shares pursuant to this Note (including, for the avoidance of doubt, any Ordinary Shares issued or delivered upon conversion of this Note or pursuant to an Event of Default Share Payment). In addition, if any Swiss Withholding Tax or other Tax is imposed on the conversion of this Note or the delivery of Ordinary Shares issued or delivered pursuant to this Note, and such Withholding Tax or other Tax is shifted to the Holder, including, for the avoidance of doubt, by way of a reduction of the number of Ordinary Shares issuable or deliverable to the Holder, the Company shall pay Additional Amounts as set out in and subject to the exceptions as set forth in </w:t>
      </w:r>
      <w:r>
        <w:rPr>
          <w:rFonts w:ascii="Times New Roman" w:cs="Times New Roman" w:eastAsia="Times New Roman" w:hAnsi="Times New Roman"/>
          <w:sz w:val="18"/>
          <w:szCs w:val="18"/>
          <w:b w:val="1"/>
          <w:bCs w:val="1"/>
          <w:color w:val="auto"/>
        </w:rPr>
        <w:t>Section 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5(C)</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upon Conversion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89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consideration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due in respect of each one thousand dollars ($1,000)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this Note, with respect to any portion of a Partial Redemption Payment for which the Holder has delivered a Holder Conversion Notice, will consist of the following:</w:t>
      </w:r>
    </w:p>
    <w:p>
      <w:pPr>
        <w:spacing w:after="0" w:line="170" w:lineRule="exact"/>
        <w:rPr>
          <w:rFonts w:ascii="Times New Roman" w:cs="Times New Roman" w:eastAsia="Times New Roman" w:hAnsi="Times New Roman"/>
          <w:sz w:val="18"/>
          <w:szCs w:val="18"/>
          <w:color w:val="auto"/>
        </w:rPr>
      </w:pPr>
    </w:p>
    <w:p>
      <w:pPr>
        <w:jc w:val="both"/>
        <w:ind w:left="4" w:firstLine="1292"/>
        <w:spacing w:after="0" w:line="268" w:lineRule="auto"/>
        <w:tabs>
          <w:tab w:leader="none" w:pos="1573"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a number of Ordinary Shares equal to the quotient (rounded up to the closest whole number) obtained by dividing the Principal Amount for which the Holder has delivered such Holder Conversion Notice by the Market Share Payment Price (the “</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and</w:t>
      </w:r>
    </w:p>
    <w:p>
      <w:pPr>
        <w:spacing w:after="0" w:line="174"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9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aggregate accrued and unpaid interest on this Note to, but excluding, the Conversion Settlement Date for such conversion.</w:t>
      </w:r>
    </w:p>
    <w:p>
      <w:pPr>
        <w:spacing w:after="0" w:line="157"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3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The total number of Ordinary Shares due in respect of any conversion of this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Section 5(G) </w:t>
      </w:r>
      <w:r>
        <w:rPr>
          <w:rFonts w:ascii="Times New Roman" w:cs="Times New Roman" w:eastAsia="Times New Roman" w:hAnsi="Times New Roman"/>
          <w:sz w:val="18"/>
          <w:szCs w:val="18"/>
          <w:color w:val="auto"/>
        </w:rPr>
        <w:t>or this</w:t>
      </w:r>
      <w:r>
        <w:rPr>
          <w:rFonts w:ascii="Times New Roman" w:cs="Times New Roman" w:eastAsia="Times New Roman" w:hAnsi="Times New Roman"/>
          <w:sz w:val="18"/>
          <w:szCs w:val="18"/>
          <w:b w:val="1"/>
          <w:bCs w:val="1"/>
          <w:color w:val="auto"/>
        </w:rPr>
        <w:t xml:space="preserve"> Section 7 </w:t>
      </w:r>
      <w:r>
        <w:rPr>
          <w:rFonts w:ascii="Times New Roman" w:cs="Times New Roman" w:eastAsia="Times New Roman" w:hAnsi="Times New Roman"/>
          <w:sz w:val="18"/>
          <w:szCs w:val="18"/>
          <w:color w:val="auto"/>
        </w:rPr>
        <w:t>will be determined on the basis of the total Event of Default Acceleration Amount or Principal Amount of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applicable) to be converted with the same Event of Default Share Payment Date or Conversion Date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number of Ordinary Shares is not a whole number, then such number will be rounded up to the nearest whole number;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such rounding would result in the par value of the Ordinary Shares no longer being paid up, in lieu of rounding up such Ordinary Share, the Company shall pay to the Holder on the Conversion Settlement Date an amount in cash equal to such fractional Ordinary Share multiplied by the Daily VWAP on the applicable Conversion Date.</w:t>
      </w:r>
    </w:p>
    <w:p>
      <w:pPr>
        <w:spacing w:after="0" w:line="29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7" w:right="339" w:bottom="1440" w:gutter="0" w:footer="0" w:header="0"/>
        </w:sectPr>
      </w:pPr>
    </w:p>
    <w:bookmarkStart w:id="161" w:name="page162"/>
    <w:bookmarkEnd w:id="161"/>
    <w:p>
      <w:pPr>
        <w:jc w:val="both"/>
        <w:ind w:left="-460" w:firstLine="644"/>
        <w:spacing w:after="0" w:line="255" w:lineRule="auto"/>
        <w:tabs>
          <w:tab w:leader="none" w:pos="50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The Company will pay or deliver, as applicable, the Conversion Consideration due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of this Note to the Holder on or before the first (1st) Business Day (or, if earlier, the standard settlement period for the primary Eligible Exchange (measured in terms of trading volume for its Ordinary Shares) on which the Ordinary Shares are traded) immediately after the Conversion Date for such conversion (the “</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 On and after the Conditional Capital Amendment Effective Date, if the Company elects in the applicable Partial Redemption Share Payment Notice, the related Consideration Shares shall be issued out of the Company’s conditional capital. If the Consideration Shares are not issued and delivered out of the Company’s conditional capital, the Company shall deliver the Consideration Shares out of its treasury or capital band, create such Consideration Shares by way of a capital increase (within the capital band or otherwise) or purchase such Consideration Shares on the open market.</w:t>
      </w:r>
    </w:p>
    <w:p>
      <w:pPr>
        <w:spacing w:after="0" w:line="184"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9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Failure to Timely Deliver Share Payments</w:t>
      </w:r>
      <w:r>
        <w:rPr>
          <w:rFonts w:ascii="Times New Roman" w:cs="Times New Roman" w:eastAsia="Times New Roman" w:hAnsi="Times New Roman"/>
          <w:sz w:val="18"/>
          <w:szCs w:val="18"/>
          <w:color w:val="auto"/>
        </w:rPr>
        <w:t>. If (x) the Company shall fail for any reason or for no reason on 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Conversion Settlement Date or Event of Default Share Payment Delivery Date to deliver Ordinary Shares in accordance with </w:t>
      </w:r>
      <w:r>
        <w:rPr>
          <w:rFonts w:ascii="Times New Roman" w:cs="Times New Roman" w:eastAsia="Times New Roman" w:hAnsi="Times New Roman"/>
          <w:sz w:val="18"/>
          <w:szCs w:val="18"/>
          <w:b w:val="1"/>
          <w:bCs w:val="1"/>
          <w:color w:val="auto"/>
        </w:rPr>
        <w:t>Section 5(E)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5(G)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7(C) </w:t>
      </w:r>
      <w:r>
        <w:rPr>
          <w:rFonts w:ascii="Times New Roman" w:cs="Times New Roman" w:eastAsia="Times New Roman" w:hAnsi="Times New Roman"/>
          <w:sz w:val="18"/>
          <w:szCs w:val="18"/>
          <w:color w:val="auto"/>
        </w:rPr>
        <w:t>(such shares to which Holder is entitled referred to as the “</w:t>
      </w:r>
      <w:r>
        <w:rPr>
          <w:rFonts w:ascii="Times New Roman" w:cs="Times New Roman" w:eastAsia="Times New Roman" w:hAnsi="Times New Roman"/>
          <w:sz w:val="18"/>
          <w:szCs w:val="18"/>
          <w:b w:val="1"/>
          <w:bCs w:val="1"/>
          <w:color w:val="auto"/>
        </w:rPr>
        <w:t>Undelivered Shares</w:t>
      </w:r>
      <w:r>
        <w:rPr>
          <w:rFonts w:ascii="Times New Roman" w:cs="Times New Roman" w:eastAsia="Times New Roman" w:hAnsi="Times New Roman"/>
          <w:sz w:val="18"/>
          <w:szCs w:val="18"/>
          <w:color w:val="auto"/>
        </w:rPr>
        <w:t>”); and (y)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directly or indirectly, including by any broker acting on the Holder’s behalf or acting with respect to such Undelivered Shares) purchases any Ordinary Shares (whether in the open market or otherwise) to cover any such Undelivered Shares (whether to satisfy any settlement obligations with respect thereto of the Holder or otherwise), then, without limiting the Holder’s right to pursue any other remedy available to it (whether hereunder, under applicable law or otherwise), the Holder will have the right, exercisable by notice to the Company, to cause the Company to either:</w:t>
      </w:r>
    </w:p>
    <w:p>
      <w:pPr>
        <w:spacing w:after="0" w:line="186"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10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on or before the first (1st) Business Day after the date such notice is delivered (or, if earlier, the standard settlement period for the primary Eligible Exchange (measured in terms of trading volume for its Ordinary Shares) on which the Ordinary Shares are traded), cash to the Holder in an amount equal to the aggregate purchase price (including any brokerage commissions and other out-of-pocket costs) incurred to purchase such shares (such aggregate purchase price, the “</w:t>
      </w:r>
      <w:r>
        <w:rPr>
          <w:rFonts w:ascii="Times New Roman" w:cs="Times New Roman" w:eastAsia="Times New Roman" w:hAnsi="Times New Roman"/>
          <w:sz w:val="18"/>
          <w:szCs w:val="18"/>
          <w:b w:val="1"/>
          <w:bCs w:val="1"/>
          <w:color w:val="auto"/>
        </w:rPr>
        <w:t>Covering Price</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113"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deliver, to the Holder, such Undelivered Shares in accordance with this Note, together with cash in an amount equal to the excess, if any, of the Covering Price over the product of (x) the number of such Undelivered Shares; and (y) the Daily VWAP per Ordinary Share on the Event of Default Share Payment Date or Conversion Date relating to such conversion (as applicable).</w:t>
      </w:r>
    </w:p>
    <w:p>
      <w:pPr>
        <w:spacing w:after="0" w:line="2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7" w:right="339" w:bottom="1440" w:gutter="0" w:footer="0" w:header="0"/>
        </w:sectPr>
      </w:pPr>
    </w:p>
    <w:bookmarkStart w:id="162" w:name="page163"/>
    <w:bookmarkEnd w:id="162"/>
    <w:p>
      <w:pPr>
        <w:jc w:val="both"/>
        <w:ind w:left="4"/>
        <w:spacing w:after="0" w:line="272" w:lineRule="auto"/>
        <w:rPr>
          <w:sz w:val="20"/>
          <w:szCs w:val="20"/>
          <w:color w:val="auto"/>
        </w:rPr>
      </w:pPr>
      <w:r>
        <w:rPr>
          <w:rFonts w:ascii="Times New Roman" w:cs="Times New Roman" w:eastAsia="Times New Roman" w:hAnsi="Times New Roman"/>
          <w:sz w:val="17"/>
          <w:szCs w:val="17"/>
          <w:color w:val="auto"/>
        </w:rPr>
        <w:t>To exercise such right, the Holder must deliver notice of such exercise to the Company, specifying whether the Holder has elected clause (1) or (2) above to apply. If the Holder has elected clause (1) to apply, then the Company’s obligation to deliver the Undelivered Shares in accordance with this Note will be deemed to have been satisfied and discharged to the extent the Company has paid the Covering Price in accordance with clause</w:t>
      </w:r>
    </w:p>
    <w:p>
      <w:pPr>
        <w:spacing w:after="0" w:line="2"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7"/>
          <w:szCs w:val="17"/>
          <w:color w:val="auto"/>
        </w:rPr>
        <w:t>(1). Nothing herein shall limit the Holder’s right to pursue any other remedies available to it hereunder, at law or in equity including, without limitation, a decree of specific performance and/or injunctive relief with respect to the Company’s failure to timely deliver Ordinary Shares as required pursuant to the terms hereof. In addition to the foregoing, if the Company fails for any reason to deliver Ordinary Shares to the Holder by the applicable Conversion Settlement Date or Event of Default Share Payment Delivery Date, the Company shall pay to the Holder, in cash, as liquidated damages and not as a penalty, for each one thousand dollars ($1,000) of Undelivered Shares (based on the Daily VWAP on the applicable Conversion Settlement Date or Event of Default Share Payment Delivery Date), ten dollars ($10) per Trading Day (increasing to twenty</w:t>
      </w:r>
    </w:p>
    <w:p>
      <w:pPr>
        <w:spacing w:after="0" w:line="1" w:lineRule="exact"/>
        <w:rPr>
          <w:sz w:val="20"/>
          <w:szCs w:val="20"/>
          <w:color w:val="auto"/>
        </w:rPr>
      </w:pPr>
    </w:p>
    <w:p>
      <w:pPr>
        <w:jc w:val="both"/>
        <w:ind w:left="4"/>
        <w:spacing w:after="0" w:line="209" w:lineRule="auto"/>
        <w:rPr>
          <w:sz w:val="20"/>
          <w:szCs w:val="20"/>
          <w:color w:val="auto"/>
        </w:rPr>
      </w:pPr>
      <w:r>
        <w:rPr>
          <w:rFonts w:ascii="Times New Roman" w:cs="Times New Roman" w:eastAsia="Times New Roman" w:hAnsi="Times New Roman"/>
          <w:sz w:val="18"/>
          <w:szCs w:val="18"/>
          <w:color w:val="auto"/>
        </w:rPr>
        <w:t>dollars ($20) per Trading Day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after such liquidated damages begin to accrue) for each Trading Day after the Conversion Settlement Date or Event of Default Share Payment Delivery Date (as applicable) until the cash amount set forth in </w:t>
      </w:r>
      <w:r>
        <w:rPr>
          <w:rFonts w:ascii="Times New Roman" w:cs="Times New Roman" w:eastAsia="Times New Roman" w:hAnsi="Times New Roman"/>
          <w:sz w:val="18"/>
          <w:szCs w:val="18"/>
          <w:b w:val="1"/>
          <w:bCs w:val="1"/>
          <w:color w:val="auto"/>
        </w:rPr>
        <w:t>Section 7(D)(iv)</w:t>
      </w:r>
    </w:p>
    <w:p>
      <w:pPr>
        <w:spacing w:after="0" w:line="2" w:lineRule="exact"/>
        <w:rPr>
          <w:sz w:val="20"/>
          <w:szCs w:val="20"/>
          <w:color w:val="auto"/>
        </w:rPr>
      </w:pPr>
    </w:p>
    <w:p>
      <w:pPr>
        <w:ind w:left="264" w:hanging="264"/>
        <w:spacing w:after="0"/>
        <w:tabs>
          <w:tab w:leader="none" w:pos="26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is paid to the Holder or the Ordinary Shares are delivered to the Holder pursuant to </w:t>
      </w:r>
      <w:r>
        <w:rPr>
          <w:rFonts w:ascii="Times New Roman" w:cs="Times New Roman" w:eastAsia="Times New Roman" w:hAnsi="Times New Roman"/>
          <w:sz w:val="18"/>
          <w:szCs w:val="18"/>
          <w:b w:val="1"/>
          <w:bCs w:val="1"/>
          <w:color w:val="auto"/>
        </w:rPr>
        <w:t>Section 7(D)(iv)(2)</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b w:val="1"/>
          <w:bCs w:val="1"/>
          <w:color w:val="auto"/>
        </w:rPr>
      </w:pPr>
    </w:p>
    <w:p>
      <w:pPr>
        <w:ind w:left="4" w:firstLine="644"/>
        <w:spacing w:after="0" w:line="284" w:lineRule="auto"/>
        <w:tabs>
          <w:tab w:leader="none" w:pos="90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Conversion</w:t>
      </w:r>
      <w:r>
        <w:rPr>
          <w:rFonts w:ascii="Times New Roman" w:cs="Times New Roman" w:eastAsia="Times New Roman" w:hAnsi="Times New Roman"/>
          <w:sz w:val="18"/>
          <w:szCs w:val="18"/>
          <w:color w:val="auto"/>
        </w:rPr>
        <w:t>. If this Note is converted in full, then, from and after the date the Conversion Consideration therefor is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in settlement of such conversion, this Note will cease to be outstanding and all interest will cease to accrue on this Note.</w:t>
      </w:r>
    </w:p>
    <w:p>
      <w:pPr>
        <w:spacing w:after="0" w:line="158" w:lineRule="exact"/>
        <w:rPr>
          <w:sz w:val="20"/>
          <w:szCs w:val="20"/>
          <w:color w:val="auto"/>
        </w:rPr>
      </w:pPr>
    </w:p>
    <w:p>
      <w:pPr>
        <w:ind w:left="284" w:hanging="284"/>
        <w:spacing w:after="0"/>
        <w:tabs>
          <w:tab w:leader="none" w:pos="28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Ordinary Shares Issued upon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8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Status of Conversion Consideration; Listing. </w:t>
      </w:r>
      <w:r>
        <w:rPr>
          <w:rFonts w:ascii="Times New Roman" w:cs="Times New Roman" w:eastAsia="Times New Roman" w:hAnsi="Times New Roman"/>
          <w:sz w:val="18"/>
          <w:szCs w:val="18"/>
          <w:color w:val="auto"/>
        </w:rPr>
        <w:t>Each Ordinary Share delivered pursuant to this Note will be a newly issued share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duly and validly issued, fully paid in, non-assessable, free of any Lien or adverse claim (except to the extent of any Lien or adverse claim created by the action or inaction of the Holder or the Person to whom such share will be delivered). If the Ordinary Shares are then listed on any securities exchange, or quoted on any inter-dealer quotation system, then the Company will cause each Ordinary Share issued pursuant to this Note, when delivered, to be admitted for listing on such exchange or quotation on such system. Any Ordinary Shares issued pursuant to this Note will be issued in the form of book-entries at the facilities of DTC.</w:t>
      </w:r>
    </w:p>
    <w:p>
      <w:pPr>
        <w:spacing w:after="0" w:line="182" w:lineRule="exact"/>
        <w:rPr>
          <w:rFonts w:ascii="Times New Roman" w:cs="Times New Roman" w:eastAsia="Times New Roman" w:hAnsi="Times New Roman"/>
          <w:sz w:val="18"/>
          <w:szCs w:val="18"/>
          <w:color w:val="auto"/>
        </w:rPr>
      </w:pPr>
    </w:p>
    <w:p>
      <w:pPr>
        <w:ind w:left="4" w:right="20" w:firstLine="644"/>
        <w:spacing w:after="0" w:line="284" w:lineRule="auto"/>
        <w:tabs>
          <w:tab w:leader="none" w:pos="91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Transferability of Conversion Consideration</w:t>
      </w:r>
      <w:r>
        <w:rPr>
          <w:rFonts w:ascii="Times New Roman" w:cs="Times New Roman" w:eastAsia="Times New Roman" w:hAnsi="Times New Roman"/>
          <w:sz w:val="18"/>
          <w:szCs w:val="18"/>
          <w:color w:val="auto"/>
        </w:rPr>
        <w:t>. Any Ordinary Shares issued pursuant to this Note, if issued by the Company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effective registration statement, will be identified therein by an “unrestricted” CUSIP number.</w:t>
      </w:r>
    </w:p>
    <w:p>
      <w:pPr>
        <w:spacing w:after="0" w:line="15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Certain Recapitalizations, Reclassifications, Consolidations, Mergers and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 any:</w:t>
      </w:r>
    </w:p>
    <w:p>
      <w:pPr>
        <w:spacing w:after="0" w:line="227"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1558"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Ordinary Shares (other than (x) changes solely resulting from a subdivision or combination of the Ordinary Shares, (y) a change only in par value or from par value to no par value or no par value to par value and (z) stock splits and stock combinations that do not involve the issuance of any other series or class of securities);</w:t>
      </w:r>
    </w:p>
    <w:p>
      <w:pPr>
        <w:spacing w:after="0" w:line="28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163" w:name="page164"/>
    <w:bookmarkEnd w:id="163"/>
    <w:p>
      <w:pPr>
        <w:ind w:left="1540" w:hanging="248"/>
        <w:spacing w:after="0"/>
        <w:tabs>
          <w:tab w:leader="none" w:pos="1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other similar event,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and, in each case, as a result of such occurrence, the Ordinary Shares are converted into, or is exchanged for, or represents solely the right to receive, other securities or other property (including cash or any combination of the foregoing) (such an event, an “</w:t>
      </w:r>
      <w:r>
        <w:rPr>
          <w:rFonts w:ascii="Times New Roman" w:cs="Times New Roman" w:eastAsia="Times New Roman" w:hAnsi="Times New Roman"/>
          <w:sz w:val="18"/>
          <w:szCs w:val="18"/>
          <w:b w:val="1"/>
          <w:bCs w:val="1"/>
          <w:color w:val="auto"/>
        </w:rPr>
        <w:t>Ordinary Share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and such other securities or other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(1) Ordinary Share would be entitled to receive on account of such Ordinary Share Change Event (without giving effect to any arrangement not to issue fractional shares of securities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then, notwithstanding anything to the contrary in this Note, at the effective time of such Ordinary Share Change Event, (x) the Conversion Consideration due pursuant to any Note will be determined in the same manner as if each reference to any number of Ordinary Shares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(or in any related definitions) were instead a reference to the same number of Reference Property Units; (y) for purposes of </w:t>
      </w:r>
      <w:r>
        <w:rPr>
          <w:rFonts w:ascii="Times New Roman" w:cs="Times New Roman" w:eastAsia="Times New Roman" w:hAnsi="Times New Roman"/>
          <w:sz w:val="18"/>
          <w:szCs w:val="18"/>
          <w:b w:val="1"/>
          <w:bCs w:val="1"/>
          <w:color w:val="auto"/>
        </w:rPr>
        <w:t>Section 7(A)</w:t>
      </w:r>
      <w:r>
        <w:rPr>
          <w:rFonts w:ascii="Times New Roman" w:cs="Times New Roman" w:eastAsia="Times New Roman" w:hAnsi="Times New Roman"/>
          <w:sz w:val="18"/>
          <w:szCs w:val="18"/>
          <w:color w:val="auto"/>
        </w:rPr>
        <w:t>, each reference to any number of Ordinary Shares in such Section (or in any related definitions) will instead be deemed to be a reference to the same number of Reference Property Units; and (z) for purposes of the definition of “Fundamental Change,” the term “Ordinary Shares” and “common equity” will be deemed to mean the common equity, if any, forming part of such Reference Property.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Ordinary Share, by the holders of Ordinary Shares. The Company will notify the Holder of such weighted average as soon as practicable after such determination is made.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or before the effective date of such Ordinary Share Change Event, the Company and the resulting, surviving or transferee Person (if not the Company) of such Ordinary Share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such instruments or agreements that (x) provides for subsequent conversions of this Note in the manner set forth in this </w:t>
      </w:r>
      <w:r>
        <w:rPr>
          <w:rFonts w:ascii="Times New Roman" w:cs="Times New Roman" w:eastAsia="Times New Roman" w:hAnsi="Times New Roman"/>
          <w:sz w:val="18"/>
          <w:szCs w:val="18"/>
          <w:b w:val="1"/>
          <w:bCs w:val="1"/>
          <w:color w:val="auto"/>
        </w:rPr>
        <w:t>Section 7(F)</w:t>
      </w:r>
      <w:r>
        <w:rPr>
          <w:rFonts w:ascii="Times New Roman" w:cs="Times New Roman" w:eastAsia="Times New Roman" w:hAnsi="Times New Roman"/>
          <w:sz w:val="18"/>
          <w:szCs w:val="18"/>
          <w:color w:val="auto"/>
        </w:rPr>
        <w:t xml:space="preserve"> and (y) contains such other provisions as the Company reasonably determines are appropriate to preserve the economic interests of the Holder and to give effect to the provisions of this </w:t>
      </w:r>
      <w:r>
        <w:rPr>
          <w:rFonts w:ascii="Times New Roman" w:cs="Times New Roman" w:eastAsia="Times New Roman" w:hAnsi="Times New Roman"/>
          <w:sz w:val="18"/>
          <w:szCs w:val="18"/>
          <w:b w:val="1"/>
          <w:bCs w:val="1"/>
          <w:color w:val="auto"/>
        </w:rPr>
        <w:t>Section 7(F)</w:t>
      </w:r>
      <w:r>
        <w:rPr>
          <w:rFonts w:ascii="Times New Roman" w:cs="Times New Roman" w:eastAsia="Times New Roman" w:hAnsi="Times New Roman"/>
          <w:sz w:val="18"/>
          <w:szCs w:val="18"/>
          <w:color w:val="auto"/>
        </w:rPr>
        <w:t>. If the Reference Property includes shares of stock or other securities or assets of a Person other than the Successor Person, then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will also execute such instruments or agreements and such instruments or agreements will contain such additional provisions the Company reasonably determines are appropriate to preserve the economic interests of the Holder.</w:t>
      </w: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69" w:right="339" w:bottom="1440" w:gutter="0" w:footer="0" w:header="0"/>
        </w:sectPr>
      </w:pPr>
    </w:p>
    <w:bookmarkStart w:id="164" w:name="page165"/>
    <w:bookmarkEnd w:id="164"/>
    <w:p>
      <w:pPr>
        <w:jc w:val="both"/>
        <w:ind w:left="660" w:firstLine="644"/>
        <w:spacing w:after="0" w:line="261" w:lineRule="auto"/>
        <w:tabs>
          <w:tab w:leader="none" w:pos="1573"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Ordinary Share Change Events</w:t>
      </w:r>
      <w:r>
        <w:rPr>
          <w:rFonts w:ascii="Times New Roman" w:cs="Times New Roman" w:eastAsia="Times New Roman" w:hAnsi="Times New Roman"/>
          <w:sz w:val="18"/>
          <w:szCs w:val="18"/>
          <w:color w:val="auto"/>
        </w:rPr>
        <w:t>. As soon as practicable after learning the anticipated or actual effective date of any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Change Event, the Company will provide written notice to the Holder of such Ordinary Share Change Event, including a brief description of such Ordinary Share Change Event, its anticipated effective date and a brief description of the anticipated change in the conversion right of this Note.</w:t>
      </w:r>
    </w:p>
    <w:p>
      <w:pPr>
        <w:spacing w:after="0" w:line="179" w:lineRule="exact"/>
        <w:rPr>
          <w:rFonts w:ascii="Times New Roman" w:cs="Times New Roman" w:eastAsia="Times New Roman" w:hAnsi="Times New Roman"/>
          <w:sz w:val="18"/>
          <w:szCs w:val="18"/>
          <w:color w:val="auto"/>
        </w:rPr>
      </w:pPr>
    </w:p>
    <w:p>
      <w:pPr>
        <w:ind w:left="660" w:firstLine="644"/>
        <w:spacing w:after="0" w:line="284" w:lineRule="auto"/>
        <w:tabs>
          <w:tab w:leader="none" w:pos="163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Ordinary Share Change Event unless its terms are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this </w:t>
      </w:r>
      <w:r>
        <w:rPr>
          <w:rFonts w:ascii="Times New Roman" w:cs="Times New Roman" w:eastAsia="Times New Roman" w:hAnsi="Times New Roman"/>
          <w:sz w:val="18"/>
          <w:szCs w:val="18"/>
          <w:b w:val="1"/>
          <w:bCs w:val="1"/>
          <w:color w:val="auto"/>
        </w:rPr>
        <w:t>Section 7(F)</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56"/>
        <w:spacing w:after="0" w:line="252" w:lineRule="auto"/>
        <w:tabs>
          <w:tab w:leader="none" w:pos="94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Notwithstanding anything to the contrary contained herein, the Company shall not effect the conversion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portion of this Note, or otherwise issue shares pursuant to this Note, and the Holder shall not have the right to convert any portion of this Note, pursuant to the terms and conditions of this Note and any such conversion or issuance shall be null and void and treated as if never made, to the extent that after giving effect to such conversion or issuance, the Holder together with the other Attribution Parties collectively would beneficially own in the aggregate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xml:space="preserve">”) of the number of Ordinary Shares outstanding immediately after giving effect to such conversion or issuance. For purposes of the foregoing sentence, the aggregate number of Ordinary Shares beneficially owned by the Holder and the other Attribution Parties shall include the number of Ordinary Shares held by the Holder and all other Attribution Parties plus the number of Ordinary Shares issuable upon conversion of, or otherwise pursuant to, this Note with respect to which the determination of such sentence is being made, but shall exclude the number of Ordinary Shares which would be issuable upon (A) conversion of the remaining, unconverted portion of this Note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 beneficial ownership shall be calculated in accordance with Section 13(d) of the Exchange Act. For purposes of this Note, in determining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outstanding Ordinary Shares the Holder may acquire in connection with this Note without exceeding the Maximum Percentage, the Holder may rely on the number of outstanding Ordinary Shares as reflected in (x) the Company’s most recent Annual Report on Form 20-F, Form 6-K or other public filing with the Commission, as the case may be, (y) a more recent public announcement by the Company or (z) any other written notice by the Company or the Transfer Agent (as defined in the Securities Purchase Agreement) setting forth the number of Ordinary Shares outstanding (the “</w:t>
      </w: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Outstanding Share Number</w:t>
      </w:r>
      <w:r>
        <w:rPr>
          <w:rFonts w:ascii="Times New Roman" w:cs="Times New Roman" w:eastAsia="Times New Roman" w:hAnsi="Times New Roman"/>
          <w:sz w:val="18"/>
          <w:szCs w:val="18"/>
          <w:color w:val="auto"/>
        </w:rPr>
        <w:t>”). If the Company receives a notice from the Holder related to the conversion of this Note or any issuance of 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this Note at a time when the actual number of outstanding Ordinary Shares is less than the Reported Outstanding Share Number,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65" w:name="page166"/>
    <w:bookmarkEnd w:id="165"/>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shall promptly notify the Holder in writing of the number of Ordinary Shares then outstanding and, to the extent that such conversion or issuance of Ordinary Shares would otherwise cause the Holder’s beneficial ownership, as determined pursuant to this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 to exceed the Maximum Percentage, the Holder must notify the Company of a reduced number of Ordinary Shares to be issued pursuant to such notice. For any reason at any time, upon the written or oral request of the Holder, the Company shall within one (1) Trading Day confirm in writing or by electronic mail to the Holder the number of Ordinary Shares then outstanding. In any case, the number of outstanding Ordinary Shares shall be determined after giving effect to the conversion or exercise of securities of the Company, including this Note, by the Holder and any other Attribution Party since the date as of which the Reported Outstanding Share Number was reported. In the event that the issuance of Ordinary Shares to the Holder upon conversion of, or otherwise pursuant to, this Note results in the Holder and the other Attribution Parties being deemed to beneficially own, in the aggregate, more than the Maximum Percentage of the number of outstanding Ordinary Shares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xml:space="preserve">”) shall be deemed null and void and shall be cancelled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the Holder shall not have the power to vote or to transfer the Excess Shares.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Notes that is not an Attribution Party of the Holder. For purposes of clarity, the Ordinary Shares issuable pursuant to the terms of this Note in excess of the Maximum Percentage shall not be deemed to be beneficially owned by the Holder for any purpose including for purposes of Section 13(d) or Rule 16a-1(a)(1) of the Exchange Act. No prior inability to convert this Note or receive shares pursuant to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Note.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A</w:t>
      </w:r>
      <w:r>
        <w:rPr>
          <w:rFonts w:ascii="Times New Roman" w:cs="Times New Roman" w:eastAsia="Times New Roman" w:hAnsi="Times New Roman"/>
          <w:sz w:val="12"/>
          <w:szCs w:val="12"/>
          <w:b w:val="1"/>
          <w:bCs w:val="1"/>
          <w:color w:val="auto"/>
        </w:rPr>
        <w:t>ffirmative and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95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6" w:name="page167"/>
    <w:bookmarkEnd w:id="166"/>
    <w:p>
      <w:pPr>
        <w:ind w:left="940" w:hanging="284"/>
        <w:spacing w:after="0"/>
        <w:tabs>
          <w:tab w:leader="none" w:pos="9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Existence.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the Company will cause to preserve and keep in full force and effect:</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existence and the corporate existence of its Subsidiaries in accordance with the organizational documents of the Company or its Subsidiaries, as applicable;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(charter and statutory), licenses and franchises of the Company and its Subsidiaries;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need not preserve or keep in full force and effect any such rights (charter and statutory), license or franchise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of any of its Subsidiaries if the Board of Directors determines in good faith that (x) the preservation thereof is no longer desirable in the conduct of the business of the Company and its Subsidiaries, taken as a whole; and (y) the loss thereof is not, individually or in the aggregate, materially adverse to the Holder.</w:t>
      </w:r>
    </w:p>
    <w:p>
      <w:pPr>
        <w:spacing w:after="0" w:line="180" w:lineRule="exact"/>
        <w:rPr>
          <w:sz w:val="20"/>
          <w:szCs w:val="20"/>
          <w:color w:val="auto"/>
        </w:rPr>
      </w:pPr>
    </w:p>
    <w:p>
      <w:pPr>
        <w:jc w:val="both"/>
        <w:ind w:firstLine="656"/>
        <w:spacing w:after="0" w:line="267" w:lineRule="auto"/>
        <w:tabs>
          <w:tab w:leader="none" w:pos="93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All payments due under this Note shall rank (i) pari passu with all Other Notes, (ii) effectively senior to all unsecured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to the extent of the value of the Collateral securing the Notes for so long as the Collateral so secures the Notes in accordance with the terms hereof and (iii) senior to any Subordinated Indebtedness.</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97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Indebtedness; Amendments to Indebtedness</w:t>
      </w:r>
      <w:r>
        <w:rPr>
          <w:rFonts w:ascii="Times New Roman" w:cs="Times New Roman" w:eastAsia="Times New Roman" w:hAnsi="Times New Roman"/>
          <w:sz w:val="18"/>
          <w:szCs w:val="18"/>
          <w:color w:val="auto"/>
        </w:rPr>
        <w:t>. The Company shall not and shall not permit any Subsidiary to: (a) create, incur,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or be or remain liable with respect to any Indebtedness, other than Permitted Indebtedness; (b) prepay any Indebtedness except by the conversion of Indebtedness into equity securities (other than Disqualified Stock) and the payment of cash in lieu of fractional shares in connection with such conversion or (c) amend or modify any documents or notes evidencing any Indebtedness. The Company shall not and shall not permit any Subsidiary to incur any Indebtedness that would cause a breach or Default under the Notes or prohibit or restrict the performance of any of the Company’s or its Subsidiaries’ obligations under the Notes, including without limitation, the payment of interest and principal thereon.</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9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The Company will not, and will not permit any of its Subsidiaries to, directly or indirectly, create, incur, assume, permit or suffer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any Lien of any kind on any asset now owned or hereafter acquired, except Permitted Liens.</w:t>
      </w:r>
    </w:p>
    <w:p>
      <w:pPr>
        <w:spacing w:after="0" w:line="158" w:lineRule="exact"/>
        <w:rPr>
          <w:rFonts w:ascii="Times New Roman" w:cs="Times New Roman" w:eastAsia="Times New Roman" w:hAnsi="Times New Roman"/>
          <w:sz w:val="18"/>
          <w:szCs w:val="18"/>
          <w:color w:val="auto"/>
        </w:rPr>
      </w:pPr>
    </w:p>
    <w:p>
      <w:pPr>
        <w:jc w:val="both"/>
        <w:ind w:firstLine="656"/>
        <w:spacing w:after="0" w:line="256" w:lineRule="auto"/>
        <w:tabs>
          <w:tab w:leader="none" w:pos="92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The Company shall not directly or indirectly acquire or own, or make any Investment in or to any Person, or permit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so to do;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prohibit the Company from making or holding Permitted Investments;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Company may not make any Investment (or make or hold a Permitted Investment) or permit any of its Subsidiaries to make any Investment (or make or hold a Permitted Investment) if (i) any Event of Default has occurred hereunder and has not been waived by the Required Holders or (ii)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8"/>
          <w:szCs w:val="18"/>
          <w:b w:val="1"/>
          <w:bCs w:val="1"/>
          <w:color w:val="auto"/>
        </w:rPr>
        <w:t>Section 10(A)(ii)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10(A)(iv)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10(A)(vi)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10(A)(ix)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10(A)(x)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10(A)(xi)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10(A)(xiii)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(xv)</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7" w:name="page168"/>
    <w:bookmarkEnd w:id="167"/>
    <w:p>
      <w:pPr>
        <w:jc w:val="both"/>
        <w:ind w:firstLine="656"/>
        <w:spacing w:after="0" w:line="252" w:lineRule="auto"/>
        <w:tabs>
          <w:tab w:leader="none" w:pos="95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The Company shall not, and shall not allow any Subsidiary to, (a) repurchase or redeem any class of stock or other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other than pursuant to employee, director or consultant repurchase plans or other similar agreements provided under plans approved by the Board of Directors; provided, however, in each case the repurchase or redemption price does not exceed the original consideration paid for such stock or Equity Interest, or (b) declare or pay any cash dividend or make a cash distribution on any class of stock or other Equity Interest, except that a Subsidiary of the Company may pay dividends or make distributions to the Company or a parent company that is a direct or indirect Wholly Owned Subsidiary of the Company, or (c) lend money to any employees, officers or directors (except as permitted under clause (F) of the definition of Permitted Investment), or guarantee the payment of any such loans granted by a third party in excess of fifty thousand dollars ($50,000) in the aggregate or (d) waive, release or forgive any Indebtedness owed by any employees, officers or directors in excess of fifty thousand dollars ($50,000) in the aggregate. If there are dividends or distributions made by the Company or any Subsidiary (other than a Subsidiary of the Company paying dividends or making distributions to the Company or a parent company that is a direct or indirect Wholly Owned Subsidiary of the Company the assets of which are subject to a Lien in favor of the Holder pursuant to the Security Agreements), within one (1) Business Day following the date on which the Company files with the Commission (i) an Annual Report on Form 20-F or (ii) a Form 6-K that includes unaudited financial statements, the Company will provide the Holder with a written notice setting forth the aggregate amount of dividends or distributions made by the Company or any Subsidiary pursuant to this </w:t>
      </w:r>
      <w:r>
        <w:rPr>
          <w:rFonts w:ascii="Times New Roman" w:cs="Times New Roman" w:eastAsia="Times New Roman" w:hAnsi="Times New Roman"/>
          <w:sz w:val="18"/>
          <w:szCs w:val="18"/>
          <w:b w:val="1"/>
          <w:bCs w:val="1"/>
          <w:color w:val="auto"/>
        </w:rPr>
        <w:t>Section 8(G)</w:t>
      </w:r>
      <w:r>
        <w:rPr>
          <w:rFonts w:ascii="Times New Roman" w:cs="Times New Roman" w:eastAsia="Times New Roman" w:hAnsi="Times New Roman"/>
          <w:sz w:val="18"/>
          <w:szCs w:val="18"/>
          <w:color w:val="auto"/>
        </w:rPr>
        <w:t xml:space="preserve"> for the period covered by such Annual Report on Form 20-F or Form 6-K, as applicable. Notwithstanding anything herein to the contrary, the Company shall not, and shall not allow any Subsidiary to, declare or pay any cash dividend or make a cash distribution on any class of stock or other Equity Interest if (A) any Event of Default has occurred hereunder and has not been waived by the Required Holders or (B)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8"/>
          <w:szCs w:val="18"/>
          <w:b w:val="1"/>
          <w:bCs w:val="1"/>
          <w:color w:val="auto"/>
        </w:rPr>
        <w:t>Section 10(A)(ii)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10(A)(iv)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10(A)(vi)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10(A)(ix)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10(A)(x)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10(A)(xi)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10(A)(xiii)</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Section 10(A)(xv)</w:t>
      </w:r>
      <w:r>
        <w:rPr>
          <w:rFonts w:ascii="Times New Roman" w:cs="Times New Roman" w:eastAsia="Times New Roman" w:hAnsi="Times New Roman"/>
          <w:sz w:val="18"/>
          <w:szCs w:val="18"/>
          <w:color w:val="auto"/>
        </w:rPr>
        <w:t>, other than a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paying dividends or making distributions to the Company or a parent company that is a direct or indirect Wholly Owned Subsidiary of the Company, the assets of which are subject to a Lien in favor of the Holder pursuant to the Security Agreements.</w:t>
      </w:r>
    </w:p>
    <w:p>
      <w:pPr>
        <w:spacing w:after="0" w:line="189" w:lineRule="exact"/>
        <w:rPr>
          <w:rFonts w:ascii="Times New Roman" w:cs="Times New Roman" w:eastAsia="Times New Roman" w:hAnsi="Times New Roman"/>
          <w:sz w:val="18"/>
          <w:szCs w:val="18"/>
          <w:color w:val="auto"/>
        </w:rPr>
      </w:pPr>
    </w:p>
    <w:p>
      <w:pPr>
        <w:jc w:val="both"/>
        <w:ind w:firstLine="656"/>
        <w:spacing w:after="0" w:line="267" w:lineRule="auto"/>
        <w:tabs>
          <w:tab w:leader="none" w:pos="94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w:t>
      </w:r>
      <w:r>
        <w:rPr>
          <w:rFonts w:ascii="Times New Roman" w:cs="Times New Roman" w:eastAsia="Times New Roman" w:hAnsi="Times New Roman"/>
          <w:sz w:val="18"/>
          <w:szCs w:val="18"/>
          <w:color w:val="auto"/>
        </w:rPr>
        <w:t>. The Company shall not, and shall not allow any Subsidiary to, voluntarily or involuntarily transfer, sell, lease, license, lend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manner convey any equitable, beneficial or legal interest in any material portion of the assets of the Company and its Subsidiaries (taken as a whole), except for Permitted Transfers and Permitted Investments.</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87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Swiss Non-Bank Rules</w:t>
      </w:r>
      <w:r>
        <w:rPr>
          <w:rFonts w:ascii="Times New Roman" w:cs="Times New Roman" w:eastAsia="Times New Roman" w:hAnsi="Times New Roman"/>
          <w:sz w:val="18"/>
          <w:szCs w:val="18"/>
          <w:color w:val="auto"/>
        </w:rPr>
        <w:t>. The Company shall be at all times in compliance with the Swiss Non-Bank Rules, if and as long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violation of these rules results in Swiss Withholding Tax consequences for the Company. For the purpose of its compliance with the Swiss Non-Bank Rules under this </w:t>
      </w:r>
      <w:r>
        <w:rPr>
          <w:rFonts w:ascii="Times New Roman" w:cs="Times New Roman" w:eastAsia="Times New Roman" w:hAnsi="Times New Roman"/>
          <w:sz w:val="18"/>
          <w:szCs w:val="18"/>
          <w:b w:val="1"/>
          <w:bCs w:val="1"/>
          <w:color w:val="auto"/>
        </w:rPr>
        <w:t>Section 8(I)</w:t>
      </w:r>
      <w:r>
        <w:rPr>
          <w:rFonts w:ascii="Times New Roman" w:cs="Times New Roman" w:eastAsia="Times New Roman" w:hAnsi="Times New Roman"/>
          <w:sz w:val="18"/>
          <w:szCs w:val="18"/>
          <w:color w:val="auto"/>
        </w:rPr>
        <w:t>, the Company and the Holders shall, (i) for purposes of compliance with the Swiss 10 Non-Bank Rule, assume that the number of creditors under the Transaction Documents not being a Swiss Qualifying Bank at all times is ten (10), and (ii) for the purpose of compliance with the Swiss 20 Non-Bank Rule, assume that the number of Holders which are not Swiss Qualifying Banks is at all times ten (10) (irrespective of whether or not there are, at any time, any such Holders).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68" w:name="page169"/>
    <w:bookmarkEnd w:id="168"/>
    <w:p>
      <w:pPr>
        <w:jc w:val="both"/>
        <w:ind w:firstLine="656"/>
        <w:spacing w:after="0" w:line="258" w:lineRule="auto"/>
        <w:tabs>
          <w:tab w:leader="none" w:pos="89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and its Subsidiaries shall pay when due all taxes, fees or other charges of any nature whatsoever (together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interest or penalties) now or hereafter imposed or assessed against the Company and its Subsidiaries or their respective assets or upon their ownership, possession, use, operation or disposition thereof or upon their rents, receipts or earnings arising therefrom. The Company and its Subsidiaries shall file on or before the due date therefor all personal property tax returns. Notwithstanding the foregoing, the Company and its Subsidiaries may contest, in good faith and by appropriate proceedings, taxes for which they maintain adequate reserves therefor in accordance with GAAP.</w:t>
      </w:r>
    </w:p>
    <w:p>
      <w:pPr>
        <w:spacing w:after="0" w:line="189" w:lineRule="exact"/>
        <w:rPr>
          <w:rFonts w:ascii="Times New Roman" w:cs="Times New Roman" w:eastAsia="Times New Roman" w:hAnsi="Times New Roman"/>
          <w:sz w:val="18"/>
          <w:szCs w:val="18"/>
          <w:color w:val="auto"/>
        </w:rPr>
      </w:pPr>
    </w:p>
    <w:p>
      <w:pPr>
        <w:jc w:val="both"/>
        <w:ind w:firstLine="656"/>
        <w:spacing w:after="0" w:line="241" w:lineRule="auto"/>
        <w:tabs>
          <w:tab w:leader="none" w:pos="94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Certificate. </w:t>
      </w:r>
      <w:r>
        <w:rPr>
          <w:rFonts w:ascii="Times New Roman" w:cs="Times New Roman" w:eastAsia="Times New Roman" w:hAnsi="Times New Roman"/>
          <w:sz w:val="18"/>
          <w:szCs w:val="18"/>
          <w:color w:val="auto"/>
        </w:rPr>
        <w:t>On or prior to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of each month (or, if requested by the Holder in its sole discretion,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one (1) Business Day of such request or, if earlier, immediately in the event an Event of Default has occurred as a result of a breach of </w:t>
      </w:r>
      <w:r>
        <w:rPr>
          <w:rFonts w:ascii="Times New Roman" w:cs="Times New Roman" w:eastAsia="Times New Roman" w:hAnsi="Times New Roman"/>
          <w:sz w:val="18"/>
          <w:szCs w:val="18"/>
          <w:b w:val="1"/>
          <w:bCs w:val="1"/>
          <w:color w:val="auto"/>
        </w:rPr>
        <w:t>Section 8(D)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8(Z)</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8(BB)</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Section 8(CC)</w:t>
      </w:r>
      <w:r>
        <w:rPr>
          <w:rFonts w:ascii="Times New Roman" w:cs="Times New Roman" w:eastAsia="Times New Roman" w:hAnsi="Times New Roman"/>
          <w:sz w:val="18"/>
          <w:szCs w:val="18"/>
          <w:color w:val="auto"/>
        </w:rPr>
        <w:t>)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to the Holder a certification,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executed on behalf of the Company by the Chief Financial Officer of the Company, certifying whether or not the Company has satisfied the requirements of </w:t>
      </w:r>
      <w:r>
        <w:rPr>
          <w:rFonts w:ascii="Times New Roman" w:cs="Times New Roman" w:eastAsia="Times New Roman" w:hAnsi="Times New Roman"/>
          <w:sz w:val="18"/>
          <w:szCs w:val="18"/>
          <w:b w:val="1"/>
          <w:bCs w:val="1"/>
          <w:color w:val="auto"/>
        </w:rPr>
        <w:t>Section 8(D)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8(Z)</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8(BB)</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Section 8(CC) </w:t>
      </w:r>
      <w:r>
        <w:rPr>
          <w:rFonts w:ascii="Times New Roman" w:cs="Times New Roman" w:eastAsia="Times New Roman" w:hAnsi="Times New Roman"/>
          <w:sz w:val="18"/>
          <w:szCs w:val="18"/>
          <w:color w:val="auto"/>
        </w:rPr>
        <w:t>during the immediately preceding calendar month (a “</w:t>
      </w:r>
      <w:r>
        <w:rPr>
          <w:rFonts w:ascii="Times New Roman" w:cs="Times New Roman" w:eastAsia="Times New Roman" w:hAnsi="Times New Roman"/>
          <w:sz w:val="18"/>
          <w:szCs w:val="18"/>
          <w:b w:val="1"/>
          <w:bCs w:val="1"/>
          <w:color w:val="auto"/>
        </w:rPr>
        <w:t>Compliance Certification</w:t>
      </w:r>
      <w:r>
        <w:rPr>
          <w:rFonts w:ascii="Times New Roman" w:cs="Times New Roman" w:eastAsia="Times New Roman" w:hAnsi="Times New Roman"/>
          <w:sz w:val="18"/>
          <w:szCs w:val="18"/>
          <w:color w:val="auto"/>
        </w:rPr>
        <w:t>”). If the Company determines in its sole discretion that such information constitutes material non-public information, then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indicate in the certification provided pursuant to the preceding sentence and the Company will concurrently disclose such material non-public information on a Form 6-K or otherwise.</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9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Nature of Business</w:t>
      </w:r>
      <w:r>
        <w:rPr>
          <w:rFonts w:ascii="Times New Roman" w:cs="Times New Roman" w:eastAsia="Times New Roman" w:hAnsi="Times New Roman"/>
          <w:sz w:val="18"/>
          <w:szCs w:val="18"/>
          <w:color w:val="auto"/>
        </w:rPr>
        <w:t>. The Company shall not, and the Company shall cause each of its Subsidiaries to not,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 in any material line of business substantially different from those lines of business conducted by or publicly contemplated to be conducted by the Company and each of its Subsidiaries on the Issue Date or any business substantially related or incidental thereto. The Company shall not, and the Company shall cause each of its Subsidiaries to not, directly or indirectly, modify its or their corporate structure or purpose.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7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Properties, Etc</w:t>
      </w:r>
      <w:r>
        <w:rPr>
          <w:rFonts w:ascii="Times New Roman" w:cs="Times New Roman" w:eastAsia="Times New Roman" w:hAnsi="Times New Roman"/>
          <w:sz w:val="18"/>
          <w:szCs w:val="18"/>
          <w:color w:val="auto"/>
        </w:rPr>
        <w:t>. The Company shall maintain and preserve, and the Company shall cause each of its Subsidiaries to maintain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preserve, all of its properties which are necessary or useful (as determined by the Company in good faith) to the conduct of its business in good working order and condition, ordinary wear and tear excepted, and comply at all times in all material respects with the provisions of all leases to which it is a party as lessee or under which it occupies property, so as to prevent any loss or forfeiture thereof or thereunder.</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97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Intellectual Property</w:t>
      </w:r>
      <w:r>
        <w:rPr>
          <w:rFonts w:ascii="Times New Roman" w:cs="Times New Roman" w:eastAsia="Times New Roman" w:hAnsi="Times New Roman"/>
          <w:sz w:val="18"/>
          <w:szCs w:val="18"/>
          <w:color w:val="auto"/>
        </w:rPr>
        <w:t>. The Company will take, and the Company shall cause each of its Subsidiaries to take, all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or advisable to maintain and preserve all of the Intellectual Property Rights (as defined in the Securities Purchase Agreement) of the Company or such Subsidiary that are necessary or material (as determined by the Company in good faith) to the conduct of its business in full force and effect.</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95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The Company shall maintain, and the Company shall cause each of its Subsidiaries to maintain, insurance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69" w:name="page170"/>
    <w:bookmarkEnd w:id="169"/>
    <w:p>
      <w:pPr>
        <w:jc w:val="both"/>
        <w:ind w:firstLine="656"/>
        <w:spacing w:after="0" w:line="258" w:lineRule="auto"/>
        <w:tabs>
          <w:tab w:leader="none" w:pos="91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Neither the Company, nor any of its Subsidiaries, shall enter into, renew, extend or be a party to, any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series of related transactions (including, without limitation, the purchase, sale, lease, transfer or exchange of property or assets of any kind or the rendering of services of any kind) with any affiliate (other than the Company or any of its Wholly Owned Subsidiaries), except transactions for fair consideration and on terms no less favorable to it than would be obtainable in a comparable arm’s length transaction with a Person that is not an affiliate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So long as this Note remains outstanding, the Company shall at all times have reserved from its conditional capital (i)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Conditional Capital Amendment Effective Date, a number of Ordinary Shares reserved solely for issuance of Ordinary Shares upon exercise of the Warrants equal to not less than one hundred percent (100%) of the maximum number of Ordinary Shares exercisable pursuant to the Warrants (which such reservation shall be for the sole benefit of and exclusive availability for the holders of such Warrants) and (ii) on and after the Conditional Capital Amendment Effective Date, (x) a number of Ordinary Shares reserved solely for issuance of Ordinary Shares upon exercise of the Warrants equal to not less than five million five hundred thousand (5,500,000) Ordinary Shares, provided that in no event shall the number of Ordinary Shares reserved solely for issuance of Ordinary Shares upon exercise of the Warrants be less than one hundred percent (100%) of the maximum number of Ordinary Shares exercisable pursuant to the Warrants (the “</w:t>
      </w:r>
      <w:r>
        <w:rPr>
          <w:rFonts w:ascii="Times New Roman" w:cs="Times New Roman" w:eastAsia="Times New Roman" w:hAnsi="Times New Roman"/>
          <w:sz w:val="18"/>
          <w:szCs w:val="18"/>
          <w:b w:val="1"/>
          <w:bCs w:val="1"/>
          <w:color w:val="auto"/>
        </w:rPr>
        <w:t>Post-Amendment Warrant Share Reserve</w:t>
      </w:r>
      <w:r>
        <w:rPr>
          <w:rFonts w:ascii="Times New Roman" w:cs="Times New Roman" w:eastAsia="Times New Roman" w:hAnsi="Times New Roman"/>
          <w:sz w:val="18"/>
          <w:szCs w:val="18"/>
          <w:color w:val="auto"/>
        </w:rPr>
        <w:t>”) and (y) a number of Ordinary Shares reserved solely for issuance of Ordinary Shares pursuant to all Notes and all Other Notes equal to not less than two hundred percent (200%) of a fraction, (A) the numerator of which shall be the then outstanding principal amount of all Notes and all Other Notes, if any, issued pursuant to the Securities Purchase Agreement and (B) the denominator of which shall be the Market Share Payment Price (collectively with the Post-Amendment Warrant Share Reserve, the “</w:t>
      </w:r>
      <w:r>
        <w:rPr>
          <w:rFonts w:ascii="Times New Roman" w:cs="Times New Roman" w:eastAsia="Times New Roman" w:hAnsi="Times New Roman"/>
          <w:sz w:val="18"/>
          <w:szCs w:val="18"/>
          <w:b w:val="1"/>
          <w:bCs w:val="1"/>
          <w:color w:val="auto"/>
        </w:rPr>
        <w:t>Required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provided that at no time shall the number of Ordinary Shares reserved pursuant to this</w:t>
      </w:r>
      <w:r>
        <w:rPr>
          <w:rFonts w:ascii="Times New Roman" w:cs="Times New Roman" w:eastAsia="Times New Roman" w:hAnsi="Times New Roman"/>
          <w:sz w:val="18"/>
          <w:szCs w:val="18"/>
          <w:b w:val="1"/>
          <w:bCs w:val="1"/>
          <w:color w:val="auto"/>
        </w:rPr>
        <w:t xml:space="preserve"> Section 8(Q) </w:t>
      </w:r>
      <w:r>
        <w:rPr>
          <w:rFonts w:ascii="Times New Roman" w:cs="Times New Roman" w:eastAsia="Times New Roman" w:hAnsi="Times New Roman"/>
          <w:sz w:val="18"/>
          <w:szCs w:val="18"/>
          <w:color w:val="auto"/>
        </w:rPr>
        <w:t>be reduced other than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stock combination, reverse stock split or other similar transaction. If (1) at any time the number of Ordinary Shares reserved for issuance is not sufficient to meet the Required Reserve Amount or (2) the Required Holders provide a written request to the Company to increase the Post-Amendment Warrant Share Reserve, the Company will promptly take all corporate action necessary to reserve a sufficient number of Ordinary Shares, including, without limitation, calling a special meeting of stockholders to authorize additional shares to meet the Company’s obligations pursuant to the Transaction Documents (including, for the avoidance of doubt, increasing the Post-Amendment Warrant Share Reserve pursuant to the Required Holders’ written request thereof), in the case of an insufficient number of reserved Ordinary Shares, obtain stockholder approval (if required) of an increase in such number of Ordinary Shares, and voting the management Ordinary Shares of the Company in favor of an increase in the Ordinary Shares of the Company to ensure that the number of reserved Ordinary Shares is sufficient to meet the Required Reserve Amount or Post-Amendment Warrant Share Reserve requested by the Required Holders, as applicable.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70" w:name="page171"/>
    <w:bookmarkEnd w:id="170"/>
    <w:p>
      <w:pPr>
        <w:jc w:val="both"/>
        <w:ind w:firstLine="656"/>
        <w:spacing w:after="0" w:line="258" w:lineRule="auto"/>
        <w:tabs>
          <w:tab w:leader="none" w:pos="93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Issuances. </w:t>
      </w:r>
      <w:r>
        <w:rPr>
          <w:rFonts w:ascii="Times New Roman" w:cs="Times New Roman" w:eastAsia="Times New Roman" w:hAnsi="Times New Roman"/>
          <w:sz w:val="18"/>
          <w:szCs w:val="18"/>
          <w:color w:val="auto"/>
        </w:rPr>
        <w:t>The Company shall not, and shall cause its Subsidiaries not to, directly or indirectly, without the prior written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in aggregate principal amount of the Notes then outstanding, (i) issue any Notes (other than as contemplated by the Securities Purchase Agreement and the Notes) or (ii) issue any other securities or incur any Indebtedness, in each case, that would cause a breach or Default under the Notes or that by its terms would prohibit or restrict the performance of any of the Company’s or its Subsidiaries’ obligations under the Notes, including, without limitation, the payment of principal thereon.</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1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Investigation</w:t>
      </w:r>
      <w:r>
        <w:rPr>
          <w:rFonts w:ascii="Times New Roman" w:cs="Times New Roman" w:eastAsia="Times New Roman" w:hAnsi="Times New Roman"/>
          <w:sz w:val="18"/>
          <w:szCs w:val="18"/>
          <w:color w:val="auto"/>
        </w:rPr>
        <w:t>. At the request of the Required Holders at any time the Required Holders have determined in good faith that (i)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Default has occurred or (ii) any event or circumstance has occurred and is continuing which, with the giving of notice or passage of time or both, could constitute an Event of Default but the Company has not timely agreed to such determination in writing, the Company shall hire an independent, reputable investment bank (or, at the sole option of the Required Holders, an independent, reputable accounting firm) selected by the Company and approved by the Required Holders to investigate as to whether such Event of Default or event or circumstance has occurred (the “</w:t>
      </w:r>
      <w:r>
        <w:rPr>
          <w:rFonts w:ascii="Times New Roman" w:cs="Times New Roman" w:eastAsia="Times New Roman" w:hAnsi="Times New Roman"/>
          <w:sz w:val="18"/>
          <w:szCs w:val="18"/>
          <w:b w:val="1"/>
          <w:b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Investigator</w:t>
      </w:r>
      <w:r>
        <w:rPr>
          <w:rFonts w:ascii="Times New Roman" w:cs="Times New Roman" w:eastAsia="Times New Roman" w:hAnsi="Times New Roman"/>
          <w:sz w:val="18"/>
          <w:szCs w:val="18"/>
          <w:color w:val="auto"/>
        </w:rPr>
        <w:t>”). If the Independent Investigator determines that such Event of Default or event or circumstance has occurred, the Independent Investigator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notify the Company of such Event of Default or occurrence of such event or circumstance and the Company shall promptly deliver written notice to the Holder of such Event of Default if such Event of Default has occurred. In connection with such investigation, the Independent Investigator may, during normal business hours and upon signing a confidentiality agreement in a form reasonably acceptable to the Company, inspect all contracts, books, records, personnel, offices and other facilities and properties of the Company and its Subsidiaries and, to the extent available to the Company after the Company uses reasonable efforts to obtain them, the records of its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any of the Company’s officers, directors, key employees and independent public accountants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spacing w:after="0" w:line="192" w:lineRule="exact"/>
        <w:rPr>
          <w:rFonts w:ascii="Times New Roman" w:cs="Times New Roman" w:eastAsia="Times New Roman" w:hAnsi="Times New Roman"/>
          <w:sz w:val="18"/>
          <w:szCs w:val="18"/>
          <w:color w:val="auto"/>
        </w:rPr>
      </w:pPr>
    </w:p>
    <w:p>
      <w:pPr>
        <w:jc w:val="both"/>
        <w:ind w:firstLine="656"/>
        <w:spacing w:after="0" w:line="254" w:lineRule="auto"/>
        <w:tabs>
          <w:tab w:leader="none" w:pos="9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Form 6-K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Times New Roman" w:cs="Times New Roman" w:eastAsia="Times New Roman" w:hAnsi="Times New Roman"/>
          <w:sz w:val="18"/>
          <w:szCs w:val="18"/>
          <w:b w:val="1"/>
          <w:bCs w:val="1"/>
          <w:color w:val="auto"/>
        </w:rPr>
        <w:t xml:space="preserve">Section 8(T) </w:t>
      </w:r>
      <w:r>
        <w:rPr>
          <w:rFonts w:ascii="Times New Roman" w:cs="Times New Roman" w:eastAsia="Times New Roman" w:hAnsi="Times New Roman"/>
          <w:sz w:val="18"/>
          <w:szCs w:val="18"/>
          <w:color w:val="auto"/>
        </w:rPr>
        <w:t>shall limit any obligations of the Company, or any rights of the Holder, under the Securities Purchase Agreement.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71" w:name="page172"/>
    <w:bookmarkEnd w:id="171"/>
    <w:p>
      <w:pPr>
        <w:jc w:val="both"/>
        <w:ind w:firstLine="656"/>
        <w:spacing w:after="0" w:line="254" w:lineRule="auto"/>
        <w:tabs>
          <w:tab w:leader="none" w:pos="95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Holder is not a fiduciary or agent of the Company, the Holder will not have any obligations hereunder except those obligations expressly set forth herein (and in the Securities Purchase Agreement) and the Holder is acting solely in the capacity of an arm’s length contractual counterparty to the Company with respect to the Note and not as a fiduciary or agent of the Company. The Company agrees that it will not assert any claim against the Holder based on an alleged breach of fiduciary duty by the Holder in connection with the Note. The Company acknowledges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this Note and any Ordinary Shares issuable pursuant to this Note and/or the Warrants to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 on and after the date that is twelve (12) months following the Issue Date. If this Note is to be transferred, the Holder shall notify the Company and surrender this Note to the Company (or provide the Company an affidavit in a form reasonably acceptable to the Company that this Note was lost, stolen or destroyed), whereupon the Company will forthwith issue and deliver upon the order of the Holder a new Note, registered as the Holder may request.</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9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when due any and all fees and expenses owed by it under all deposit accounts subject to the Control Agreements entered into in favor of the Collateral Agent.</w:t>
      </w:r>
    </w:p>
    <w:p>
      <w:pPr>
        <w:spacing w:after="0" w:line="159" w:lineRule="exact"/>
        <w:rPr>
          <w:rFonts w:ascii="Times New Roman" w:cs="Times New Roman" w:eastAsia="Times New Roman" w:hAnsi="Times New Roman"/>
          <w:sz w:val="18"/>
          <w:szCs w:val="18"/>
          <w:color w:val="auto"/>
        </w:rPr>
      </w:pPr>
    </w:p>
    <w:p>
      <w:pPr>
        <w:ind w:firstLine="656"/>
        <w:spacing w:after="0" w:line="284" w:lineRule="auto"/>
        <w:tabs>
          <w:tab w:leader="none" w:pos="94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Burn</w:t>
      </w:r>
      <w:r>
        <w:rPr>
          <w:rFonts w:ascii="Times New Roman" w:cs="Times New Roman" w:eastAsia="Times New Roman" w:hAnsi="Times New Roman"/>
          <w:sz w:val="18"/>
          <w:szCs w:val="18"/>
          <w:color w:val="auto"/>
        </w:rPr>
        <w:t>. The Company’s Available Cash on each Cash Burn Measurement Date shall be greater than or equal to (x) the Company’s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on the Cash Burn Reference Date, less (y) five million dollars ($5,000,000).</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5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Liquidity</w:t>
      </w:r>
      <w:r>
        <w:rPr>
          <w:rFonts w:ascii="Times New Roman" w:cs="Times New Roman" w:eastAsia="Times New Roman" w:hAnsi="Times New Roman"/>
          <w:sz w:val="18"/>
          <w:szCs w:val="18"/>
          <w:color w:val="auto"/>
        </w:rPr>
        <w:t>. The Company and its Subsidiaries shall have at all times unrestricted, unencumbered Cash and Cash Equivalents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accounts subject to the Control Agreements in an aggregate minimum amount equal to ten million dollars ($10,000,000).</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9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 of Veraxa BioTech GmbH</w:t>
      </w:r>
      <w:r>
        <w:rPr>
          <w:rFonts w:ascii="Times New Roman" w:cs="Times New Roman" w:eastAsia="Times New Roman" w:hAnsi="Times New Roman"/>
          <w:sz w:val="18"/>
          <w:szCs w:val="18"/>
          <w:color w:val="auto"/>
        </w:rPr>
        <w:t>. Notwithstanding any provision of this Note or any Transaction Document to the contrary,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(for the avoidance of doubt) </w:t>
      </w:r>
      <w:r>
        <w:rPr>
          <w:rFonts w:ascii="Times New Roman" w:cs="Times New Roman" w:eastAsia="Times New Roman" w:hAnsi="Times New Roman"/>
          <w:sz w:val="18"/>
          <w:szCs w:val="18"/>
          <w:b w:val="1"/>
          <w:bCs w:val="1"/>
          <w:color w:val="auto"/>
        </w:rPr>
        <w:t>Section 8(F)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8(P)</w:t>
      </w:r>
      <w:r>
        <w:rPr>
          <w:rFonts w:ascii="Times New Roman" w:cs="Times New Roman" w:eastAsia="Times New Roman" w:hAnsi="Times New Roman"/>
          <w:sz w:val="18"/>
          <w:szCs w:val="18"/>
          <w:color w:val="auto"/>
        </w:rPr>
        <w:t xml:space="preserve"> of this Note, Veraxa BioTech GmbH shall not, and the Company shall not permit Veraxa BioTech GmbH to, directly or indirectly, sell, transfer, assign, convey, dispose of, license (other than Permitted Intellectual Property Licenses), sublicense, pledge, hypothecate, encumber or otherwise convey any legal or beneficial interest in Veraxa BioTech GmbH’s Intellectual Property to any Person (including, for the avoidance of doubt, the Company or any Subsidiary thereof).</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2" w:name="page173"/>
    <w:bookmarkEnd w:id="172"/>
    <w:p>
      <w:pPr>
        <w:jc w:val="both"/>
        <w:ind w:firstLine="656"/>
        <w:spacing w:after="0" w:line="261" w:lineRule="auto"/>
        <w:tabs>
          <w:tab w:leader="none" w:pos="107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Control Agreements</w:t>
      </w:r>
      <w:r>
        <w:rPr>
          <w:rFonts w:ascii="Times New Roman" w:cs="Times New Roman" w:eastAsia="Times New Roman" w:hAnsi="Times New Roman"/>
          <w:sz w:val="18"/>
          <w:szCs w:val="18"/>
          <w:color w:val="auto"/>
        </w:rPr>
        <w:t>. The Company shall not, and shall not permit any of its Subsidiaries to, open any accounts (including deposit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accounts and commodities accounts) unless the Company or such Subsidiary, within five (5) days of the opening of such account, delivers a Control Agreement over such account. The Company shall, and shall cause its Subsidiaries to, deposit all revenues, proceeds and any other Cash received only in deposit accounts subject to Control Agreements.</w:t>
      </w:r>
    </w:p>
    <w:p>
      <w:pPr>
        <w:spacing w:after="0" w:line="179"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 Modification Agreement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of its Subsidiaries to, make any payment to Cantor Fitzgerald &amp; Co. or any of its Affiliates in connection with a breach of the Company’s obligations or any other default by the Company pursuant to the Fee Modification Agreement (including, for the avoidance of doubt, a Default Payment (as such term is defined in the Fee Modification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remain in compliance with the terms and provisions of the Fee Modification Agreement and shall not otherwise breach any terms or provisions of the Fee Modification Agreement, cause a default thereunder, or cause a Default Payment (as such term is defined in the Fee Modification Agreement) to become due. The Company shall promptly notify the Holder in writing of any breach, default, or event that, with the passage of time, could constitute a breach or default under the Fee Modification Agreement.</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64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amend, amend and restate, supplement or otherwise modify the Fee Modification Agreement without the prior written consent of the Required Holders.</w:t>
      </w:r>
    </w:p>
    <w:p>
      <w:pPr>
        <w:spacing w:after="0" w:line="159"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Xlife Indebtedness</w:t>
      </w:r>
      <w:r>
        <w:rPr>
          <w:rFonts w:ascii="Times New Roman" w:cs="Times New Roman" w:eastAsia="Times New Roman" w:hAnsi="Times New Roman"/>
          <w:sz w:val="18"/>
          <w:szCs w:val="18"/>
          <w:color w:val="auto"/>
        </w:rPr>
        <w:t>. Prior to December 30, 2027, the Company shall not, and shall not permit any of its Subsidiaries to,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any payments (whether of principal, premium, fees, payments upon a default, or any other amounts) to Xlife in connection with any Indebtedness owed by the Company or any of its Subsidiaries to Xlife, other than regularly scheduled payments of interest in accordance with the terms of such Indebtedness as in effect on the Issue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S</w:t>
      </w:r>
      <w:r>
        <w:rPr>
          <w:rFonts w:ascii="Times New Roman" w:cs="Times New Roman" w:eastAsia="Times New Roman" w:hAnsi="Times New Roman"/>
          <w:sz w:val="12"/>
          <w:szCs w:val="12"/>
          <w:b w:val="1"/>
          <w:bCs w:val="1"/>
          <w:color w:val="auto"/>
        </w:rPr>
        <w:t>uccessors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2" w:lineRule="exact"/>
        <w:rPr>
          <w:sz w:val="20"/>
          <w:szCs w:val="20"/>
          <w:color w:val="auto"/>
        </w:rPr>
      </w:pPr>
    </w:p>
    <w:p>
      <w:pPr>
        <w:jc w:val="both"/>
        <w:ind w:firstLine="656"/>
        <w:spacing w:after="0" w:line="262" w:lineRule="auto"/>
        <w:tabs>
          <w:tab w:leader="none" w:pos="98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corporation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duly organized and existing under the laws of the United States of America, any State thereof or the District of Columbia that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assumes (by executing and delivering to the Holder, at or before the effective time of such Business Combination Event, a supplement to this instrument) all of the Company’s obligations under this Note; and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73" w:name="page174"/>
    <w:bookmarkEnd w:id="173"/>
    <w:p>
      <w:pPr>
        <w:ind w:firstLine="656"/>
        <w:spacing w:after="0" w:line="282" w:lineRule="auto"/>
        <w:tabs>
          <w:tab w:leader="none" w:pos="93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Event of Default will have occurred that has not been waived and no Default will have occurred and be continuing which has not been waived.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D</w:t>
      </w:r>
      <w:r>
        <w:rPr>
          <w:rFonts w:ascii="Times New Roman" w:cs="Times New Roman" w:eastAsia="Times New Roman" w:hAnsi="Times New Roman"/>
          <w:sz w:val="12"/>
          <w:szCs w:val="12"/>
          <w:b w:val="1"/>
          <w:bCs w:val="1"/>
          <w:color w:val="auto"/>
        </w:rPr>
        <w:t>efaults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225" w:lineRule="exact"/>
        <w:rPr>
          <w:sz w:val="20"/>
          <w:szCs w:val="20"/>
          <w:color w:val="auto"/>
        </w:rPr>
      </w:pPr>
    </w:p>
    <w:p>
      <w:pPr>
        <w:ind w:firstLine="656"/>
        <w:spacing w:after="0" w:line="286" w:lineRule="auto"/>
        <w:tabs>
          <w:tab w:leader="none" w:pos="94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 (whose occurrence, for the avoidance of doubt,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 but may not be cured):</w:t>
      </w:r>
    </w:p>
    <w:p>
      <w:pPr>
        <w:spacing w:after="0" w:line="154"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3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payment when due of a Partial Redemption Payment, the Principal Amount, any amount due under </w:t>
      </w:r>
      <w:r>
        <w:rPr>
          <w:rFonts w:ascii="Times New Roman" w:cs="Times New Roman" w:eastAsia="Times New Roman" w:hAnsi="Times New Roman"/>
          <w:sz w:val="18"/>
          <w:szCs w:val="18"/>
          <w:b w:val="1"/>
          <w:bCs w:val="1"/>
          <w:color w:val="auto"/>
        </w:rPr>
        <w:t>Section 4(B)</w:t>
      </w:r>
      <w:r>
        <w:rPr>
          <w:rFonts w:ascii="Times New Roman" w:cs="Times New Roman" w:eastAsia="Times New Roman" w:hAnsi="Times New Roman"/>
          <w:sz w:val="18"/>
          <w:szCs w:val="18"/>
          <w:color w:val="auto"/>
        </w:rPr>
        <w:t>, the Holder Redemption Price, or the Fundamental Change Repurchase Price under this Note;</w:t>
      </w:r>
    </w:p>
    <w:p>
      <w:pPr>
        <w:spacing w:after="0" w:line="15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two (2) Business Days in the payment when due of the interest on this Note;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25"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issue Ordinary Shares pursuant to this Note (or any portion of this Note) in accordance with </w:t>
      </w:r>
      <w:r>
        <w:rPr>
          <w:rFonts w:ascii="Times New Roman" w:cs="Times New Roman" w:eastAsia="Times New Roman" w:hAnsi="Times New Roman"/>
          <w:sz w:val="18"/>
          <w:szCs w:val="18"/>
          <w:b w:val="1"/>
          <w:bCs w:val="1"/>
          <w:color w:val="auto"/>
        </w:rPr>
        <w:t>Section 5(E)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5(G)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7(C) </w:t>
      </w:r>
      <w:r>
        <w:rPr>
          <w:rFonts w:ascii="Times New Roman" w:cs="Times New Roman" w:eastAsia="Times New Roman" w:hAnsi="Times New Roman"/>
          <w:sz w:val="18"/>
          <w:szCs w:val="18"/>
          <w:color w:val="auto"/>
        </w:rPr>
        <w:t>upon the exercise of the Holder’s election with respect thereto, or upon exercise of the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thereof;</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64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timely deliver a Fundamental Change Notice pursuant to </w:t>
      </w:r>
      <w:r>
        <w:rPr>
          <w:rFonts w:ascii="Times New Roman" w:cs="Times New Roman" w:eastAsia="Times New Roman" w:hAnsi="Times New Roman"/>
          <w:sz w:val="18"/>
          <w:szCs w:val="18"/>
          <w:b w:val="1"/>
          <w:bCs w:val="1"/>
          <w:color w:val="auto"/>
        </w:rPr>
        <w:t>Section 6(C)</w:t>
      </w:r>
      <w:r>
        <w:rPr>
          <w:rFonts w:ascii="Times New Roman" w:cs="Times New Roman" w:eastAsia="Times New Roman" w:hAnsi="Times New Roman"/>
          <w:sz w:val="18"/>
          <w:szCs w:val="18"/>
          <w:color w:val="auto"/>
        </w:rPr>
        <w:t xml:space="preserve">, Cash Sweep Certification pursuant to </w:t>
      </w:r>
      <w:r>
        <w:rPr>
          <w:rFonts w:ascii="Times New Roman" w:cs="Times New Roman" w:eastAsia="Times New Roman" w:hAnsi="Times New Roman"/>
          <w:sz w:val="18"/>
          <w:szCs w:val="18"/>
          <w:b w:val="1"/>
          <w:bCs w:val="1"/>
          <w:color w:val="auto"/>
        </w:rPr>
        <w:t>Section 4(B)</w:t>
      </w:r>
      <w:r>
        <w:rPr>
          <w:rFonts w:ascii="Times New Roman" w:cs="Times New Roman" w:eastAsia="Times New Roman" w:hAnsi="Times New Roman"/>
          <w:sz w:val="18"/>
          <w:szCs w:val="18"/>
          <w:color w:val="auto"/>
        </w:rPr>
        <w:t xml:space="preserve"> or Compliance Certification and such default continues for three (3) Business Days, or the delivery of a materially false or inaccurate Fundamental Change Notice, Cash Sweep Certification, Company Redemption Notice or Compliance Certification;</w:t>
      </w:r>
    </w:p>
    <w:p>
      <w:pPr>
        <w:spacing w:after="0" w:line="17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timely deliver an Event of Default Notice or any delivery of a materially false or inaccurate certification (including a false or inaccurate deemed certification) by the Company (A) that the Equity Conditions are satisfied or (B) as to whether any Event of Default has occurred;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1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Note or the Transaction Documents (in each case, other than a default set forth in clauses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(xx)</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 xml:space="preserve">), or a breach of any representation or warranty in any material respect (other than representations or warranties subject to material adverse effect or materiality qualifications, which may not be breached in any respect) of any Transaction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default can be cured, then such default shall not be an Event of Default unless the Company has failed to cure such default within ten (10) days after its occurrence;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4" w:name="page175"/>
    <w:bookmarkEnd w:id="174"/>
    <w:p>
      <w:pPr>
        <w:jc w:val="both"/>
        <w:ind w:left="-460" w:firstLine="644"/>
        <w:spacing w:after="0" w:line="261" w:lineRule="auto"/>
        <w:tabs>
          <w:tab w:leader="none" w:pos="54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Transaction Document at any time for any reason (other than pursuant to the express terms thereof) ceases to be valid and binding on or enforceable against the parties thereto, or the validity or enforceability thereof is contested, directly or indirectly, by the Company or any of its Subsidiaries, or a proceeding is commenced by the Company or any of its Subsidiaries or any governmental authority having jurisdiction over any of them, seeking to establish the invalidity or unenforceability thereof;</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59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comply with any covenant set forth in </w:t>
      </w:r>
      <w:r>
        <w:rPr>
          <w:rFonts w:ascii="Times New Roman" w:cs="Times New Roman" w:eastAsia="Times New Roman" w:hAnsi="Times New Roman"/>
          <w:sz w:val="18"/>
          <w:szCs w:val="18"/>
          <w:b w:val="1"/>
          <w:bCs w:val="1"/>
          <w:color w:val="auto"/>
        </w:rPr>
        <w:t>Section 8(D)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8(J)</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8(Z)</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8(BB)</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Section 8(CC)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w:t>
      </w:r>
    </w:p>
    <w:p>
      <w:pPr>
        <w:spacing w:after="0" w:line="174"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0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failure of the Ordinary Shares to be trading or listed on the Company’s primary Eligible Exchange (measured in terms of trading volume for its Ordinary Shares) on which the Ordinary Shares are traded for a period of three (3) consecutive Trading Days;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6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the Company or any of its Subsidiaries to pay when due or within any applicable grace period any Indebtedness having an individual principal amount in excess of at least fifty thousand dollars ($50,000) (or its foreign currency equivalent) in the aggregate of the Company or any of its Subsidiaries, whether such Indebtedness exists as of the Issue Date or is thereafter created, and whether such default has been waived for any period of time or is subsequently cured; or (ii) the occurrence of any breach or default under any terms or provisions of any other Indebtedness of at least fifty thousand dollars ($50,000) (or its foreign currency equivalent) in the aggregate of the Company or any of its Subsidiaries, if the effect of such failure or occurrence is to cause or to permit the holder or holders of any such indebtedness, to cause, Indebtedness having an individual principal amount in excess of fifty thousand dollars ($50,000) to become or be declared due prior to its stated maturity;</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judgments, orders or awards (or any settlement of any litigation or other proceeding that, if breached, could result in a judgment, order or award) for the payment of at least fifty thousand dollars ($50,000) (or its foreign currency equivalent) in the aggregate (excluding any amounts covered by insurance pursuant to which the insurer has been notified and has not denied coverage), is rendered against the Company or any of its Subsidiaries and remains unsatisfied and (i) enforcement proceedings shall have been commenced by any creditor upon any such judgment, order, award or settlement or (ii) there shall be a period of ten (10) consecutive Trading Days after entry thereof during which (A) a stay of enforcement thereof is not in effect or (B) the same is not vacated, discharged, stayed or bonded pending appeal;</w:t>
      </w:r>
    </w:p>
    <w:p>
      <w:pPr>
        <w:spacing w:after="0" w:line="2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75" w:name="page176"/>
    <w:bookmarkEnd w:id="175"/>
    <w:p>
      <w:pPr>
        <w:jc w:val="both"/>
        <w:ind w:left="-460" w:firstLine="644"/>
        <w:spacing w:after="0" w:line="255" w:lineRule="auto"/>
        <w:tabs>
          <w:tab w:leader="none" w:pos="56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fails to timely file with the Commission its (1) annual reports on Form 20-F or (2) its reports on Form 6-K including unaudited financial statements, in the manner and within the time periods required by the Exchange Act, the Securities Act or the Eligible Exchange on which the Ordinary Shares are listed for trading, as applicable, in any case in a manner that results in the Company failing for any reason to satisfy the requirements of Rule 144(c)(1) under the Securities Act, including, without limitation, the failure to satisfy the current public information requirement under Rule 144(c), (B) the Company withdraws or restates any such annual or current report previously filed with the Commission or (C) the Company at any time ceases to satisfy the eligibility requirements set forth under Section I.A of the General Instructions to Form F-3;</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60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remove any restrictive legend on any certificate or any Ordinary Shares issued to the Holder pursuant to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such failure continues for more than five (5) Trading Days;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8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shall for any reason fail or cease to create a separate valid and perfected, and, except to the extent permitted by the terms hereof or thereof, first priority Lien on the Collateral, in each case, in favor of the Collateral Agent and the Holder in accordance with the terms thereof, or any material provision of any Security Document shall at any time for any reason cease to be valid and binding on or enforceable against the Company or the validity or enforceability thereof shall be contested by any party thereto (including by way of the Company or any of its Subsidiaries requesting the release of Collateral under any Security Document governed by German law as a consequence of a purported overcollateralization), or a proceeding shall be commenced by the Company or any governmental authority having jurisdiction over the Company, seeking to establish the invalidity or unenforceability thereof;</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4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damage to, or loss, theft or destruction of, any Collateral (provided that any damage, loss, theft or destruction of the Collateral that reduces the value of such Collateral by fifty thousand dollars ($50,000) or more shall be deemed to be material),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reasonably be expected to have a Material Adverse Effect (as defined in the Securities Purchase Agreement); for clarity, an Event of Default under this </w:t>
      </w:r>
      <w:r>
        <w:rPr>
          <w:rFonts w:ascii="Times New Roman" w:cs="Times New Roman" w:eastAsia="Times New Roman" w:hAnsi="Times New Roman"/>
          <w:sz w:val="18"/>
          <w:szCs w:val="18"/>
          <w:b w:val="1"/>
          <w:bCs w:val="1"/>
          <w:color w:val="auto"/>
        </w:rPr>
        <w:t>Section 10(A)(xv)</w:t>
      </w:r>
      <w:r>
        <w:rPr>
          <w:rFonts w:ascii="Times New Roman" w:cs="Times New Roman" w:eastAsia="Times New Roman" w:hAnsi="Times New Roman"/>
          <w:sz w:val="18"/>
          <w:szCs w:val="18"/>
          <w:color w:val="auto"/>
        </w:rPr>
        <w:t xml:space="preserve"> will not require any curtailment of revenue;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60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issuable pursuant to the Notes or the Warrants are not Freely Tradable at any time following the earlier to occur of (x) the first anniversary of the Issue Date and (y) the effectiveness of a registration statement registering the Ordinary Shares issuable pursuant to this Note and the Warrants.</w:t>
      </w:r>
    </w:p>
    <w:p>
      <w:pPr>
        <w:spacing w:after="0" w:line="175"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3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76" w:name="page177"/>
    <w:bookmarkEnd w:id="176"/>
    <w:p>
      <w:pPr>
        <w:ind w:left="2200" w:hanging="248"/>
        <w:spacing w:after="0"/>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Company or any of its Significant Subsidiaries in an involuntary case or proceeding;</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19"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any similar relief with respect to the Company or any of its Significant Subsidiaries under any foreign Bankruptcy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10(A)(xviii)</w:t>
      </w:r>
      <w:r>
        <w:rPr>
          <w:rFonts w:ascii="Times New Roman" w:cs="Times New Roman" w:eastAsia="Times New Roman" w:hAnsi="Times New Roman"/>
          <w:sz w:val="18"/>
          <w:szCs w:val="18"/>
          <w:color w:val="auto"/>
        </w:rPr>
        <w:t>, such order or decree remains unstayed and in effect for at least thirty (30) days.</w:t>
      </w:r>
    </w:p>
    <w:p>
      <w:pPr>
        <w:spacing w:after="0" w:line="229" w:lineRule="exact"/>
        <w:rPr>
          <w:sz w:val="20"/>
          <w:szCs w:val="20"/>
          <w:color w:val="auto"/>
        </w:rPr>
      </w:pPr>
    </w:p>
    <w:p>
      <w:pPr>
        <w:ind w:left="1700" w:hanging="396"/>
        <w:spacing w:after="0"/>
        <w:tabs>
          <w:tab w:leader="none" w:pos="170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for the liquidation or dissolution of the Company.</w:t>
      </w:r>
    </w:p>
    <w:p>
      <w:pPr>
        <w:spacing w:after="0" w:line="22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3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 respect to the Company (and not solely with respect to a Significant Subsidiary of the Company), then the then outstanding portion of the Principal Amount of, and all accrued and unpaid interest on, this Note will immediately become due and payable without any further action or notice by any Person.</w:t>
      </w:r>
    </w:p>
    <w:p>
      <w:pPr>
        <w:spacing w:after="0" w:line="176"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7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Company and not solely with respect to a Subsidiary of the Company) occurs and has not been waived by the Holder, then the Holder, by notice to the Company, may declare this Note (or any portion thereof) to become due and payable on the Business Day immediately following the date of such notice for cash in an amount equal to the Event of Default Acceleration Amount.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7" w:name="page178"/>
    <w:bookmarkEnd w:id="177"/>
    <w:p>
      <w:pPr>
        <w:jc w:val="both"/>
        <w:ind w:firstLine="656"/>
        <w:spacing w:after="0" w:line="261" w:lineRule="auto"/>
        <w:tabs>
          <w:tab w:leader="none" w:pos="9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Events of Default</w:t>
      </w:r>
      <w:r>
        <w:rPr>
          <w:rFonts w:ascii="Times New Roman" w:cs="Times New Roman" w:eastAsia="Times New Roman" w:hAnsi="Times New Roman"/>
          <w:sz w:val="18"/>
          <w:szCs w:val="18"/>
          <w:color w:val="auto"/>
        </w:rPr>
        <w:t>. Promptly, but in no event later than one (1) Business Day after an Event of Default, the Company will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of such Event of Default to the Holder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which Event of Default Notice shall include (i) a reasonable description of the applicable Event of Default, (ii) the date on which the Event of Default occurred and (iii) the date on which the Default underlying such Event of Default initially occurred, if different than the date on which the Event of Default occurred.</w:t>
      </w:r>
    </w:p>
    <w:p>
      <w:pPr>
        <w:spacing w:after="0" w:line="177" w:lineRule="exact"/>
        <w:rPr>
          <w:rFonts w:ascii="Times New Roman" w:cs="Times New Roman" w:eastAsia="Times New Roman" w:hAnsi="Times New Roman"/>
          <w:sz w:val="18"/>
          <w:szCs w:val="18"/>
          <w:color w:val="auto"/>
        </w:rPr>
      </w:pPr>
    </w:p>
    <w:p>
      <w:pPr>
        <w:jc w:val="both"/>
        <w:ind w:firstLine="656"/>
        <w:spacing w:after="0" w:line="255" w:lineRule="auto"/>
        <w:tabs>
          <w:tab w:leader="none" w:pos="97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 If a Default or an Event of Default occurs, then in each case,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accrue on the Principal Amount outstanding as of the date of such Default or Event of Default at a rate per annum equal to fifteen percent (15%), from, and including, the date of such Default or Event of Default, as applicable, to, but excluding, the date such Default is cured and all outstanding Default Interest under this Note has been paid. Default Interest hereunder will be computed on the basis of a 360-day year comprised of twelve 30-day months and will be payable in arrears on the earlier of (i) the first day of each calendar month, (ii) the date such Default is cured, (iii) the date on which any portion of the outstanding Principal Amount of this Note is reduced or otherwise retired (including, for the avoidance of doubt, a Fundamental Change Repurchase Date, Conversion Settlement Date, Partial Redemption Date, Holder Redemption Date, or any date that an Event of Default Acceleration Amount or Cash Sweep Payment is paid by the Company to the Holder), and (iv) the Maturity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R</w:t>
      </w:r>
      <w:r>
        <w:rPr>
          <w:rFonts w:ascii="Times New Roman" w:cs="Times New Roman" w:eastAsia="Times New Roman" w:hAnsi="Times New Roman"/>
          <w:sz w:val="12"/>
          <w:szCs w:val="12"/>
          <w:b w:val="1"/>
          <w:bCs w:val="1"/>
          <w:color w:val="auto"/>
        </w:rPr>
        <w:t>anking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payments due under this Note shall rank (i) pari passu with all Other Notes, (ii) effectively senior to all unsecured indebtedness of the Company to the extent of the value of the Collateral securing the Notes for so long as the Collateral so secures the Notes in accordance with the terms hereof and (iii) senior to any Subordinated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R</w:t>
      </w:r>
      <w:r>
        <w:rPr>
          <w:rFonts w:ascii="Times New Roman" w:cs="Times New Roman" w:eastAsia="Times New Roman" w:hAnsi="Times New Roman"/>
          <w:sz w:val="12"/>
          <w:szCs w:val="12"/>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Holder of this Note claims that this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to provide such security or an indemnity that is reasonably satisfactory to the Company to protect the Company from any loss that it may suffer if this Note is replaced.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Section 13. 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the Company will be deemed to have been duly given if in writing and delivered in person or by first class mail (registered or certified, return receipt requested), electronic transmission (including e-mail) or other similar means of unsecured electronic communication or overnight air courier guaranteeing next day delivery, or to the other’s address, which initially is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VERAXA Biotech Holding AG</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Talacker 35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8001 Zurich, Switzerland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Christoph Antz</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address: antz@veraxa.com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901 New York Avenue N.W., Suite 700 East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Andrew M. Tucker; Rebekah D. McCorvey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address: atucker@duanemorris.com; rmccorvey@duanemorris.com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by notice to the Holder, may designate additional or different addresses for subsequent notices or communications.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notice or communication to the Holder will be by e-mail to its e-mail address, which initially is as set forth in the Securities Purchase Agreement. The Holder, by notice to the Company, may designate additional or different addresses for subsequent notices or communications.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in the manner provided above within the time prescribed, it will be deemed to have been duly given, whether or not the addressee receives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S</w:t>
      </w:r>
      <w:r>
        <w:rPr>
          <w:rFonts w:ascii="Times New Roman" w:cs="Times New Roman" w:eastAsia="Times New Roman" w:hAnsi="Times New Roman"/>
          <w:sz w:val="12"/>
          <w:szCs w:val="12"/>
          <w:b w:val="1"/>
          <w:bCs w:val="1"/>
          <w:color w:val="auto"/>
        </w:rPr>
        <w:t>uccessors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ssigns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agreements of the Company in this Note will bind its successors and will inure to the benefit of the Holder’s successors and assigns.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Note is invalid, illegal or unenforceable, then the validity, legality and enforceability of the remaining provisions of this Note will not in any way be affected or impaired thereby.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H</w:t>
      </w:r>
      <w:r>
        <w:rPr>
          <w:rFonts w:ascii="Times New Roman" w:cs="Times New Roman" w:eastAsia="Times New Roman" w:hAnsi="Times New Roman"/>
          <w:sz w:val="12"/>
          <w:szCs w:val="12"/>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headings of the Sections of this Note have been inserted for convenience of reference only, are not to be considered a part of this Note and will in no way modify or restrict any of the terms or provisions of this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A</w:t>
      </w:r>
      <w:r>
        <w:rPr>
          <w:rFonts w:ascii="Times New Roman" w:cs="Times New Roman" w:eastAsia="Times New Roman" w:hAnsi="Times New Roman"/>
          <w:sz w:val="12"/>
          <w:szCs w:val="12"/>
          <w:b w:val="1"/>
          <w:bCs w:val="1"/>
          <w:color w:val="auto"/>
        </w:rPr>
        <w:t>mendments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Note may not be amended or modified unless in writing by the Company and the Required Holders, and no condition herein (express or implied) may be waived unless waived in writing by each party whom the condition is meant to benefit;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may </w:t>
      </w:r>
      <w:r>
        <w:rPr>
          <w:rFonts w:ascii="Times New Roman" w:cs="Times New Roman" w:eastAsia="Times New Roman" w:hAnsi="Times New Roman"/>
          <w:sz w:val="18"/>
          <w:szCs w:val="18"/>
          <w:b w:val="1"/>
          <w:bCs w:val="1"/>
          <w:color w:val="auto"/>
        </w:rPr>
        <w:t xml:space="preserve">Section 7(G) </w:t>
      </w:r>
      <w:r>
        <w:rPr>
          <w:rFonts w:ascii="Times New Roman" w:cs="Times New Roman" w:eastAsia="Times New Roman" w:hAnsi="Times New Roman"/>
          <w:sz w:val="18"/>
          <w:szCs w:val="18"/>
          <w:color w:val="auto"/>
        </w:rPr>
        <w:t>be amended or modified, it being understood that this does not affect the ability of the Holder to deliver written notice to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increase or decrease the Maximum Percentage to any other percentage not in excess of 9.99% as provided in </w:t>
      </w:r>
      <w:r>
        <w:rPr>
          <w:rFonts w:ascii="Times New Roman" w:cs="Times New Roman" w:eastAsia="Times New Roman" w:hAnsi="Times New Roman"/>
          <w:sz w:val="18"/>
          <w:szCs w:val="18"/>
          <w:b w:val="1"/>
          <w:bCs w:val="1"/>
          <w:color w:val="auto"/>
        </w:rPr>
        <w:t>Section 7(G)</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Section 18. 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questions concerning the construction, validity, enforcement and interpretation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Note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UNDER ANY OTHER TRANSACTION DOCUMENT OR IN CONNECTION WITH OR ARISING OUT OF THIS NOTE OR ANY OTHER TRANSACTION DOCUMENT OR ANY TRANSACTION CONTEMPLATED HEREBY OR THEREBY.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S</w:t>
      </w:r>
      <w:r>
        <w:rPr>
          <w:rFonts w:ascii="Times New Roman" w:cs="Times New Roman" w:eastAsia="Times New Roman" w:hAnsi="Times New Roman"/>
          <w:sz w:val="12"/>
          <w:szCs w:val="12"/>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 agrees that any suit, action or proceeding against it arising out of or relating to this Note may be instituted in the Court of Chancery of the State of Delaware; (B) waives,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submits to the nonexclusive jurisdiction of such court in any such suit, action or proceeding.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 E</w:t>
      </w:r>
      <w:r>
        <w:rPr>
          <w:rFonts w:ascii="Times New Roman" w:cs="Times New Roman" w:eastAsia="Times New Roman" w:hAnsi="Times New Roman"/>
          <w:sz w:val="12"/>
          <w:szCs w:val="12"/>
          <w:b w:val="1"/>
          <w:bCs w:val="1"/>
          <w:color w:val="auto"/>
        </w:rPr>
        <w:t>nforcement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agrees to pay all costs and expenses of the Holder incurred as a result of enforcement of this Note and the collection of any amounts owed to the Holder hereunder (whether in cash, Ordinary Shares or otherwise), including, without limitation, reasonable attorneys’ fees and expenses.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Section 21. E</w:t>
      </w:r>
      <w:r>
        <w:rPr>
          <w:rFonts w:ascii="Times New Roman" w:cs="Times New Roman" w:eastAsia="Times New Roman" w:hAnsi="Times New Roman"/>
          <w:sz w:val="12"/>
          <w:szCs w:val="12"/>
          <w:b w:val="1"/>
          <w:bCs w:val="1"/>
          <w:color w:val="auto"/>
        </w:rPr>
        <w:t>lectronic</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words “execution,” “signed,” “signature,” and words of similar import in the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Holder Conversion Notice</w:t>
      </w:r>
    </w:p>
    <w:p>
      <w:pPr>
        <w:spacing w:after="0" w:line="2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VERAXA Biotech Holding AG</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Senior Secured Note due 2027</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terms of this Note, by executing and delivering this Holder Conversion Notice, the undersigned Holder of this Note hereby gives notice to the Company to subscribe for the total number of Ordinary Shares set forth below, (x) a number of which, if any, to be issued out of the Company’s conditional capital according to art. 3a of the Company’s articles of association as set forth below, and (y) the rest of which, if any, to be issued out of the Company’s treasury shares, capital band or purchased on the open market, as specified in the Company’s applicable Partial Redemption Share Payment Notice or as otherwise set forth in the Note, and undertakes to pay the total issue price for such shares in full, together with all applicable transfer taxes, if any. Payment shall take the form of a deduction and set-off of the following Principal Amount of this Note: $_________________,000 in accordance with the following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Ordinary Shares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31546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Ordinary Shares to be delivered out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conditional capital according to art. 3a of the Company’s articles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280035</wp:posOffset>
            </wp:positionV>
            <wp:extent cx="31546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31546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Share Payment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31546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31546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31546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31546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0712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Covenant Compliance 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the duly qualified and elected Chief Financial Officer of VERAXA Biotech Holding AG, a public limited company organized under the Laws of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does hereby certify in such capacity and on behalf of the Company, pursuant to the Senior Secured Note due 2027, issued [●], 2026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by the Company to [●], that:</w:t>
      </w:r>
    </w:p>
    <w:p>
      <w:pPr>
        <w:spacing w:after="0" w:line="172" w:lineRule="exact"/>
        <w:rPr>
          <w:sz w:val="20"/>
          <w:szCs w:val="20"/>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8(D)</w:t>
      </w:r>
      <w:r>
        <w:rPr>
          <w:rFonts w:ascii="Times New Roman" w:cs="Times New Roman" w:eastAsia="Times New Roman" w:hAnsi="Times New Roman"/>
          <w:sz w:val="18"/>
          <w:szCs w:val="18"/>
          <w:color w:val="auto"/>
        </w:rPr>
        <w:t xml:space="preserve"> of the Note during the calendar month ended [●];</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8(E)</w:t>
      </w:r>
      <w:r>
        <w:rPr>
          <w:rFonts w:ascii="Times New Roman" w:cs="Times New Roman" w:eastAsia="Times New Roman" w:hAnsi="Times New Roman"/>
          <w:sz w:val="18"/>
          <w:szCs w:val="18"/>
          <w:color w:val="auto"/>
        </w:rPr>
        <w:t xml:space="preserve"> of the Note during the calendar month ended [●];</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8(F)</w:t>
      </w:r>
      <w:r>
        <w:rPr>
          <w:rFonts w:ascii="Times New Roman" w:cs="Times New Roman" w:eastAsia="Times New Roman" w:hAnsi="Times New Roman"/>
          <w:sz w:val="18"/>
          <w:szCs w:val="18"/>
          <w:color w:val="auto"/>
        </w:rPr>
        <w:t xml:space="preserve"> of the Note during the calendar month ended [●];</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8(G)</w:t>
      </w:r>
      <w:r>
        <w:rPr>
          <w:rFonts w:ascii="Times New Roman" w:cs="Times New Roman" w:eastAsia="Times New Roman" w:hAnsi="Times New Roman"/>
          <w:sz w:val="18"/>
          <w:szCs w:val="18"/>
          <w:color w:val="auto"/>
        </w:rPr>
        <w:t xml:space="preserve"> of the Note during the calendar month ended [●];</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8(Q)</w:t>
      </w:r>
      <w:r>
        <w:rPr>
          <w:rFonts w:ascii="Times New Roman" w:cs="Times New Roman" w:eastAsia="Times New Roman" w:hAnsi="Times New Roman"/>
          <w:sz w:val="18"/>
          <w:szCs w:val="18"/>
          <w:color w:val="auto"/>
        </w:rPr>
        <w:t xml:space="preserve"> of the Note during the calendar month ended [●];</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8(X)</w:t>
      </w:r>
      <w:r>
        <w:rPr>
          <w:rFonts w:ascii="Times New Roman" w:cs="Times New Roman" w:eastAsia="Times New Roman" w:hAnsi="Times New Roman"/>
          <w:sz w:val="18"/>
          <w:szCs w:val="18"/>
          <w:color w:val="auto"/>
        </w:rPr>
        <w:t xml:space="preserve"> of the Note during the calendar month ended [●];</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8(Y)</w:t>
      </w:r>
      <w:r>
        <w:rPr>
          <w:rFonts w:ascii="Times New Roman" w:cs="Times New Roman" w:eastAsia="Times New Roman" w:hAnsi="Times New Roman"/>
          <w:sz w:val="18"/>
          <w:szCs w:val="18"/>
          <w:color w:val="auto"/>
        </w:rPr>
        <w:t xml:space="preserve"> of the Note during the calendar month ended [●];</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8(Z)</w:t>
      </w:r>
      <w:r>
        <w:rPr>
          <w:rFonts w:ascii="Times New Roman" w:cs="Times New Roman" w:eastAsia="Times New Roman" w:hAnsi="Times New Roman"/>
          <w:sz w:val="18"/>
          <w:szCs w:val="18"/>
          <w:color w:val="auto"/>
        </w:rPr>
        <w:t xml:space="preserve"> of the Note during the calendar month ended [●];</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8(BB)</w:t>
      </w:r>
      <w:r>
        <w:rPr>
          <w:rFonts w:ascii="Times New Roman" w:cs="Times New Roman" w:eastAsia="Times New Roman" w:hAnsi="Times New Roman"/>
          <w:sz w:val="18"/>
          <w:szCs w:val="18"/>
          <w:color w:val="auto"/>
        </w:rPr>
        <w:t xml:space="preserve"> of the Note during the calendar month ended [●]; and</w:t>
      </w:r>
    </w:p>
    <w:p>
      <w:pPr>
        <w:spacing w:after="0" w:line="225" w:lineRule="exact"/>
        <w:rPr>
          <w:rFonts w:ascii="Times New Roman" w:cs="Times New Roman" w:eastAsia="Times New Roman" w:hAnsi="Times New Roman"/>
          <w:sz w:val="18"/>
          <w:szCs w:val="18"/>
          <w:color w:val="auto"/>
        </w:rPr>
      </w:pPr>
    </w:p>
    <w:p>
      <w:pPr>
        <w:ind w:left="660" w:right="2500" w:hanging="4"/>
        <w:spacing w:after="0" w:line="503" w:lineRule="auto"/>
        <w:tabs>
          <w:tab w:leader="none" w:pos="9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satisfied the requirements of </w:t>
      </w:r>
      <w:r>
        <w:rPr>
          <w:rFonts w:ascii="Times New Roman" w:cs="Times New Roman" w:eastAsia="Times New Roman" w:hAnsi="Times New Roman"/>
          <w:sz w:val="18"/>
          <w:szCs w:val="18"/>
          <w:b w:val="1"/>
          <w:bCs w:val="1"/>
          <w:color w:val="auto"/>
        </w:rPr>
        <w:t>Section 8(CC)</w:t>
      </w:r>
      <w:r>
        <w:rPr>
          <w:rFonts w:ascii="Times New Roman" w:cs="Times New Roman" w:eastAsia="Times New Roman" w:hAnsi="Times New Roman"/>
          <w:sz w:val="18"/>
          <w:szCs w:val="18"/>
          <w:color w:val="auto"/>
        </w:rPr>
        <w:t xml:space="preserve"> of the Note during the calendar month ended [●]. Capitalized terms used herein without definition shall have the meanings given to such terms in the Note.</w:t>
      </w:r>
    </w:p>
    <w:p>
      <w:pPr>
        <w:ind w:left="5640"/>
        <w:spacing w:after="0"/>
        <w:rPr>
          <w:sz w:val="20"/>
          <w:szCs w:val="20"/>
          <w:color w:val="auto"/>
        </w:rPr>
      </w:pPr>
      <w:r>
        <w:rPr>
          <w:rFonts w:ascii="Times New Roman" w:cs="Times New Roman" w:eastAsia="Times New Roman" w:hAnsi="Times New Roman"/>
          <w:sz w:val="18"/>
          <w:szCs w:val="18"/>
          <w:color w:val="auto"/>
        </w:rPr>
        <w:t>VERAXA BIOTECH HOLDING AG</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0712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229" w:lineRule="exact"/>
        <w:rPr>
          <w:sz w:val="20"/>
          <w:szCs w:val="20"/>
          <w:color w:val="auto"/>
        </w:rPr>
      </w:pPr>
    </w:p>
    <w:p>
      <w:pPr>
        <w:spacing w:after="0"/>
        <w:tabs>
          <w:tab w:leader="none" w:pos="9120" w:val="left"/>
        </w:tabs>
        <w:rPr>
          <w:sz w:val="20"/>
          <w:szCs w:val="20"/>
          <w:color w:val="auto"/>
        </w:rPr>
      </w:pPr>
      <w:r>
        <w:rPr>
          <w:rFonts w:ascii="Times New Roman" w:cs="Times New Roman" w:eastAsia="Times New Roman" w:hAnsi="Times New Roman"/>
          <w:sz w:val="18"/>
          <w:szCs w:val="18"/>
          <w:color w:val="auto"/>
        </w:rPr>
        <w:t>Warrant Shares: 2,391,305</w:t>
      </w:r>
      <w:r>
        <w:rPr>
          <w:sz w:val="20"/>
          <w:szCs w:val="20"/>
          <w:color w:val="auto"/>
        </w:rPr>
        <w:tab/>
      </w:r>
      <w:r>
        <w:rPr>
          <w:rFonts w:ascii="Times New Roman" w:cs="Times New Roman" w:eastAsia="Times New Roman" w:hAnsi="Times New Roman"/>
          <w:sz w:val="17"/>
          <w:szCs w:val="17"/>
          <w:color w:val="auto"/>
        </w:rPr>
        <w:t>Issuance Date: June 15, 2026</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WARRANT TO PURCHASE ORDINARY SHARES (this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HT Investments MA LLC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or times on or after the Issuance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four year anniversary of the date on which a Resale Registration Statement covering the resale of all Warrant Shares (as defined below) is declared effective by the Commission (as defined below)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Veraxa Biotech Holding AG, a public limited company organized under the Laws of Switzerland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two million three hundred ninety one thousand three hundred and five (2,391,305) Ordinary Shares, par value CHF 100/11,325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the Company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Warrant Share under this Warrant shall be equal to the Exercise Price, as defined in Section 2(b).</w:t>
      </w:r>
    </w:p>
    <w:p>
      <w:pPr>
        <w:spacing w:after="0" w:line="192" w:lineRule="exact"/>
        <w:rPr>
          <w:sz w:val="20"/>
          <w:szCs w:val="20"/>
          <w:color w:val="auto"/>
        </w:rPr>
      </w:pPr>
    </w:p>
    <w:p>
      <w:pPr>
        <w:ind w:firstLine="8"/>
        <w:spacing w:after="0" w:line="282" w:lineRule="auto"/>
        <w:tabs>
          <w:tab w:leader="none" w:pos="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dated as of May 27, 2026, among the Company, the Holder and the other Buyers party thereto.</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and the bank incorporated in, existing, licensed and authorized under the laws of Switzerland, as notified by the Company to the Holder from time to time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xml:space="preserve">”) of a duly executed PDF copy submitted by e-mail (or e-mail attachment) of the Notice of Exercise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The contact information for the Bank shall initially be Max Fischer, Executive Director, EFG Bank, Promenade 2a, 3780 Gstaad, Switzerland (max.fischer@efgbank.com) and shall remain the contact information for the Bank until such time as the Holder has received written notice of new contact information for the Bank. Within the earlier of (i) one (1) Trading Day and (ii) the number of Trading Days comprising the Standard Settlement Period (as defined in Section 2(d)(ii) herein) following the date of exercise as aforesaid, the Holder shall pay the aggregate Exercise Price for the Warrant Shares specified in the applicable Notice of Exercise by (I) wire transfer in immediately available funds to the Bank, unless and to the extent the nominal value exercise procedure specified in Section 2(c) below is specified in the applicable Notice of Exercise or (II) notifying the Company that the outstanding principal amount under the Senior Secured Note due 2027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issued by the Company to the Holder shall be reduced by an amount equal to any or all, at the Holder’s option, of such aggregate Exercise Price (each such notice, a “</w:t>
      </w:r>
      <w:r>
        <w:rPr>
          <w:rFonts w:ascii="Times New Roman" w:cs="Times New Roman" w:eastAsia="Times New Roman" w:hAnsi="Times New Roman"/>
          <w:sz w:val="18"/>
          <w:szCs w:val="18"/>
          <w:u w:val="single" w:color="auto"/>
          <w:color w:val="auto"/>
        </w:rPr>
        <w:t>Principal Reduction Notice</w:t>
      </w:r>
      <w:r>
        <w:rPr>
          <w:rFonts w:ascii="Times New Roman" w:cs="Times New Roman" w:eastAsia="Times New Roman" w:hAnsi="Times New Roman"/>
          <w:sz w:val="18"/>
          <w:szCs w:val="18"/>
          <w:color w:val="auto"/>
        </w:rPr>
        <w:t xml:space="preserve">”), effective upon the Company’s receipt of the applicable Principal Reduction Notice in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Company and the Holder acknowledge that in case of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exercise the subscription rights conferred by the Warrant in relation to the exercise (the “</w:t>
      </w:r>
      <w:r>
        <w:rPr>
          <w:rFonts w:ascii="Times New Roman" w:cs="Times New Roman" w:eastAsia="Times New Roman" w:hAnsi="Times New Roman"/>
          <w:sz w:val="18"/>
          <w:szCs w:val="18"/>
          <w:b w:val="1"/>
          <w:bCs w:val="1"/>
          <w:u w:val="single" w:color="auto"/>
          <w:color w:val="auto"/>
        </w:rPr>
        <w:t>Subscription Rights</w:t>
      </w:r>
      <w:r>
        <w:rPr>
          <w:rFonts w:ascii="Times New Roman" w:cs="Times New Roman" w:eastAsia="Times New Roman" w:hAnsi="Times New Roman"/>
          <w:sz w:val="18"/>
          <w:szCs w:val="18"/>
          <w:b w:val="1"/>
          <w:bCs w:val="1"/>
          <w:color w:val="auto"/>
        </w:rPr>
        <w:t>”) shall be validly exercised on the day on which the Company or the Bank has received a copy of the Notice of Exercise validly executed on behalf of the Holder. Upon the date of receipt of the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4" w:name="page185"/>
    <w:bookmarkEnd w:id="184"/>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the Holder shall be deemed for all corporate purposes to have become the holder of record of the Warrant Shares with respect to which this Warrant has been exercised, irrespective of the date of delivery of the Warrant Shares, provided that the Company shall have received (a) the aggregate Exercise Price (other than in the case of a nominal value exercise in which case the Company shall have received at least the aggregate nominal value of the Warrant Shares to be issued) at the Bank or (b) the Principal Reduction Notice, in either case within the earlier of (i) one (1) Trading Day and (ii) the number of Trading Days comprising the Standard Settlement Period following delivery of the Notice of Exercise. </w:t>
      </w:r>
      <w:r>
        <w:rPr>
          <w:rFonts w:ascii="Times New Roman" w:cs="Times New Roman" w:eastAsia="Times New Roman" w:hAnsi="Times New Roman"/>
          <w:sz w:val="18"/>
          <w:szCs w:val="18"/>
          <w:color w:val="auto"/>
        </w:rPr>
        <w:t xml:space="preserve">No ink-original Notice of Exercise shall be required. No medallion guarantee (or other type of guarantee or notarization) of any Notice of Exercise or Principal Reduction Notice shall be required. The Company shall have no obligation to inquire with respect to or otherwise confirm the authenticity of the signature(s) contained on any Notice of Exercise or Principal Reduction Notice nor the authority of the person so executing such notice. Notwithstanding anything herein to the contrary, the Holder shall not be required to physically surrender this Warrant to the Company until all of the Warrant Shares available hereunder have been issued and the Warrant has been exercised in full, in which case, the Holder shall surrender this Warrant to the Company for cancellation within seven (7) Trading Days of the date on which the final Notice of Exercise is delivered to the Company. Partial exercises of this Warrant resulting in issuances of a portion of the total number of Warrant Shares available hereunder shall have the effect of lowering the outstanding number of Warrant Shares to which the Holder is entitled hereunder in an amount equal to the applicable number of Warrant Shares issued. The Holder and the Company shall maintain records showing the number of Warrant Shares issued and the date of such issuance.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subscription for and issuance of a portion of the Warrant Shares hereunder, the number of Warrant Shares available for subscription and issuance hereunder at any given time may be less than the amount stated on the face hereof.</w:t>
      </w:r>
    </w:p>
    <w:p>
      <w:pPr>
        <w:spacing w:after="0" w:line="197" w:lineRule="exact"/>
        <w:rPr>
          <w:sz w:val="20"/>
          <w:szCs w:val="20"/>
          <w:color w:val="auto"/>
        </w:rPr>
      </w:pPr>
    </w:p>
    <w:p>
      <w:pPr>
        <w:jc w:val="both"/>
        <w:ind w:firstLine="1304"/>
        <w:spacing w:after="0" w:line="254" w:lineRule="auto"/>
        <w:tabs>
          <w:tab w:leader="none" w:pos="155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Ordinary Share under this Warrant shall be $11.50 per share, subject to adjustment hereunder; provided, however, that if at any time after the earlier of (i) the Effectiveness Deadline (as defined in the Securities Purchase Agreement) and (ii) the date that the Resale Registration Statement becomes effective, the Resale Registration Statement is not available for the resale of all Warrant Shares, until such time as the Resale Registration Statement becomes available for the resale of all Warrant Shares, then the exercise price for the number of Warrant Shares for which the Resale Registration Statement is not available shall instead be the par value of an Ordinary Share at the time of such exercise, if the par value of an Ordinary Share at such time is less than $11.50, subject to adjustment hereunder as and when the Exercise Price is adjusted hereunder (the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For the avoidance of doubt, the reduction of the exercise price to par value pursuant to the preceding sentence shall occur each time the Resale Registration Statement becomes unavailable for the resale of any Warrant Shares after the earlier of (i) the Effectiveness Deadline (as defined in the Securities Purchase Agreement) and (ii) the date that the Resale Registration Statement becomes effective.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or anything to the contrary contained in Section 3, for purposes of determining whether a Dilutive Issuance has occurred under Section 3(c) and calculating any resulting adjustment to the Exercise Price and the number of Warrant Shares pursuant to Section 3(c) and Section 3(d), the “Applicable Price” shall be deemed to be the Exercise Price that would then be in effect but for any temporary reduction to par value pursuant to this Section 2(b). For the avoidance of doubt, if a Dilutive Issuance occurs during any period when the Exercise Price for any Warrant Shares has been temporarily reduced to par value pursuant to this Section 2(b): (x) the number of Warrant Shares shall be adjusted under Section 3(d) at the time of such Dilutive Issuance as if no such temporary reduction to par value had occurred; (y) with respect to any Warrant Shares for which the Resale Registration Statement is then available, the Exercise Price for such Warrant Shares shall be reduced to the New Issuance Price at the time of such Dilutive Issuance; and (z) with respect to any Warrant Shares for which the Resale Registration Statement is not then available, the Exercise Price for such Warrant Shares shall remain at par value; provided, that upon the Resale Registration Statement again becoming available for the resale of such Warrant Shares, the Exercise Price for such Warrant Shares shall be the New Issuance Price at the time of such Dilutive Issuance calculated in accordance with the preceding sentence. In no event shall the Exercise Price be adjusted upward or the number of Warrant Shares be reduced pursuant to this Warrant, other than proportionate adjustments resulting from stock splits, reverse stock splits, stock dividends, stock combinations, recapitalizations or other similar transactions pursuant to Section 3(a).</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both"/>
        <w:ind w:firstLine="1304"/>
        <w:spacing w:after="0" w:line="266" w:lineRule="auto"/>
        <w:tabs>
          <w:tab w:leader="none" w:pos="1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Nominal Value Exercise</w:t>
      </w:r>
      <w:r>
        <w:rPr>
          <w:rFonts w:ascii="Times New Roman" w:cs="Times New Roman" w:eastAsia="Times New Roman" w:hAnsi="Times New Roman"/>
          <w:sz w:val="18"/>
          <w:szCs w:val="18"/>
          <w:color w:val="auto"/>
        </w:rPr>
        <w:t>. At the election of the Holder, this Warrant may also be exercised at any time, in whole or in part, by means of a “nominal value exercise” in which the Holder shall be entitled to receive a number of Warrant Shares (credited as fully paid) equal to the quotient obtained by dividing [(A-B) (X)] by (A), where:</w:t>
      </w:r>
    </w:p>
    <w:p>
      <w:pPr>
        <w:spacing w:after="0" w:line="176" w:lineRule="exact"/>
        <w:rPr>
          <w:sz w:val="20"/>
          <w:szCs w:val="20"/>
          <w:color w:val="auto"/>
        </w:rPr>
      </w:pPr>
    </w:p>
    <w:p>
      <w:pPr>
        <w:ind w:left="1960" w:hanging="656"/>
        <w:spacing w:after="0" w:line="253" w:lineRule="auto"/>
        <w:tabs>
          <w:tab w:leader="none" w:pos="160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highest Bid Price of the Ordinary Shares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960" w:right="20" w:hanging="656"/>
        <w:spacing w:after="0" w:line="282" w:lineRule="auto"/>
        <w:tabs>
          <w:tab w:leader="none" w:pos="160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nominal value exercise.</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If Warrant Shares are issued in such a nominal value exercise, the Holder shall pay to the Bank an amount in cash equal to (A) the number of Warrant Shares to be received by the Holder as part of such nominal value exercise calculated in accordance with the above formula pursuant to this Section 2(c), multiplied by (B) the par value of CHF 100/11,325 (as may be adjusted from time to time in accordance with the articles of association of the Company) per Ordinary Share.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the Ordinary Shares are not then listed or quoted on a Trading Market and if the Ordinary Shares are listed or quoted for trading on the OTC Market Group’s OTCQB exchange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exchange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(or any successors to either of the foregoing), the VWAP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6" w:name="page187"/>
    <w:bookmarkEnd w:id="18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Ordinary Shares are listed or quoted for trading on the date in question: the NYSE American, the Nasdaq Stock Market LLC,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the Ordinary Shares are not then listed or quoted on a Trading Market and if the Ordinary Shares are listed or quoted for trading on OTCQB or OTCQX (or any successors to either of the foregoing),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920" w:hanging="264"/>
        <w:spacing w:after="0"/>
        <w:tabs>
          <w:tab w:leader="none" w:pos="9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56" w:lineRule="auto"/>
        <w:tabs>
          <w:tab w:leader="none" w:pos="154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undertakes that, after confirmation by the Bank of the receipt of the Exercise Price for the Warrant Shares (or, in connection with a nominal value exercise, the nominal value thereof in accordance with Section 2(c)) or upon receipt of the Principal Reduction Notice in respect of which Subscription Rights are to be exercised in accordance with the procedures set forth in this Section 2, it shall allocate to the Holder the Warrant Shares issued by operation of law and constituted by such Warrant and shall immediately enter the name of the Holder (or any assignee) in the share register of the Company in respect of the number of Warrant Shares issued to it on the date of issue.</w:t>
      </w:r>
    </w:p>
    <w:p>
      <w:pPr>
        <w:spacing w:after="0" w:line="187"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57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issued hereunder to be transmitted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there is an effective Resale Registration Statement permitting the issuance of the Warrant Shares to or resale of the Warrant Shares by the Holder, and otherwise by physical delivery of the Warrant Shares,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delivery to the Company of the Notice of Exercise, (ii) one (1) Trading Day after (a) payment of the aggregate Exercise Price to the Bank or (b) delivery of the Principal Reduction Notice, and (iii) the number of Trading Days comprising the Standard Settlement Period after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provided that the Company shall have received the Notice of Exercise and,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7" w:name="page188"/>
    <w:bookmarkEnd w:id="187"/>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as applicable, (a) the Principal Reduction Notice or (b) payment of the aggregate Exercise Price (other than in the case of a nominal value exercise, in which case the Company shall have received payment of at least the aggregate nominal value of the Warrant Shares to be so issued) at the Bank prior to or on such applicable date. Upon the date of receipt of the Notice of Exercise (the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the Holder shall be deemed for all corporate purposes to have become the holder of record of the Warrant Shares with respect to which this Warrant has been exercised, irrespective of the date of delivery of the Warrant Shares, provided that the Company shall have received (a) the aggregate Exercise Price (other than in the case of a nominal value exercise in which case the Company shall have received at least the aggregate nominal value of the Warrant Shares to be issued) at the Bank or (b) the Principal Reduction Notice, in either case within the earlier of (i) one (1) Trading Day and (ii) the number of Trading Days comprising the Standard Settlement Period following delivery of the Notice of Exercise; and provided further, that the Holder shall be deemed to have waived any voting rights of any such Warrant Shares that may arise during the period commencing on such Exercise Date, through, and including, such applicable Warrant Share Delivery Date, as necessary, such that the aggregate voting rights of any Ordinary Shares (including such Warrant Shares) beneficially owned by the Holder and/or any Attribution Parties, collectively, shall not exceed the Beneficial Ownership Limitation (as defined below) as a result of any such exercise of this Warrant.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registrar (which may be the Company’s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that is a participant in the Fast Automated Securities Transfer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Ordinary Shares as in effect on the date of delivery of the Notice of Exercise.</w:t>
      </w:r>
    </w:p>
    <w:p>
      <w:pPr>
        <w:spacing w:after="0" w:line="188" w:lineRule="exact"/>
        <w:rPr>
          <w:sz w:val="20"/>
          <w:szCs w:val="20"/>
          <w:color w:val="auto"/>
        </w:rPr>
      </w:pPr>
    </w:p>
    <w:p>
      <w:pPr>
        <w:jc w:val="both"/>
        <w:ind w:left="180" w:firstLine="4"/>
        <w:spacing w:after="0" w:line="261" w:lineRule="auto"/>
        <w:tabs>
          <w:tab w:leader="none" w:pos="4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88" w:name="page189"/>
    <w:bookmarkEnd w:id="188"/>
    <w:p>
      <w:pPr>
        <w:jc w:val="both"/>
        <w:ind w:left="180" w:firstLine="4"/>
        <w:spacing w:after="0" w:line="256" w:lineRule="auto"/>
        <w:tabs>
          <w:tab w:leader="none" w:pos="51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2(d)(ii) by the Warrant Share Delivery Date, then the Holder will have the right to rescind such exercise. Upon any such rescission, (A) if the Holder has paid the Exercise Price in cash, the Company shall promptly return to the Holder any Exercise Price paid in connection with such exercise and (B) if the Holder has delivered a Principal Reduction Notice in connection with such exercise, such Principal Reduction Notice shall be deemed void and the outstanding principal amount under the Note shall be restored to the amount in effect immediately prior to delivery of such Principal Reduction Notice.</w:t>
      </w:r>
    </w:p>
    <w:p>
      <w:pPr>
        <w:spacing w:after="0" w:line="187" w:lineRule="exact"/>
        <w:rPr>
          <w:rFonts w:ascii="Times New Roman" w:cs="Times New Roman" w:eastAsia="Times New Roman" w:hAnsi="Times New Roman"/>
          <w:sz w:val="18"/>
          <w:szCs w:val="18"/>
          <w:color w:val="auto"/>
        </w:rPr>
      </w:pPr>
    </w:p>
    <w:p>
      <w:pPr>
        <w:jc w:val="both"/>
        <w:ind w:left="180" w:firstLine="4"/>
        <w:spacing w:after="0" w:line="252" w:lineRule="auto"/>
        <w:tabs>
          <w:tab w:leader="none" w:pos="4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49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pay a cash adjustment in respect of such final fraction in an amount equal to such fraction multiplied by the Exercise Price.</w:t>
      </w:r>
    </w:p>
    <w:p>
      <w:pPr>
        <w:spacing w:after="0" w:line="2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89" w:name="page190"/>
    <w:bookmarkEnd w:id="189"/>
    <w:p>
      <w:pPr>
        <w:jc w:val="both"/>
        <w:ind w:left="180" w:firstLine="4"/>
        <w:spacing w:after="0" w:line="254" w:lineRule="auto"/>
        <w:tabs>
          <w:tab w:leader="none" w:pos="53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The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80" w:firstLine="4"/>
        <w:spacing w:after="0" w:line="282" w:lineRule="auto"/>
        <w:tabs>
          <w:tab w:leader="none" w:pos="58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left="180" w:firstLine="4"/>
        <w:spacing w:after="0" w:line="251" w:lineRule="auto"/>
        <w:tabs>
          <w:tab w:leader="none" w:pos="48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Ordinary Shares would or could be aggregated with the Holder’s for the purposes of Section 13(d)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Warrant Shares issuable upon exercise of this Warrant with respect to which such determination is being made, but shall exclude the number of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securities of the Company or its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 (collectively “</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subject to a limitation on conversion or exercise analogous to the limitation contained herein beneficially owned by the Holder or any of its Affiliates or Attribution Parties. Except as set forth in the preceding sentence, for purposes of this Section 2(d)(ix),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2(d)(ix)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In addition,</w:t>
      </w:r>
    </w:p>
    <w:p>
      <w:pPr>
        <w:spacing w:after="0" w:line="3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90" w:name="page191"/>
    <w:bookmarkEnd w:id="190"/>
    <w:p>
      <w:pPr>
        <w:jc w:val="both"/>
        <w:ind w:left="1300"/>
        <w:spacing w:after="0" w:line="252" w:lineRule="auto"/>
        <w:rPr>
          <w:sz w:val="20"/>
          <w:szCs w:val="20"/>
          <w:color w:val="auto"/>
        </w:rPr>
      </w:pPr>
      <w:r>
        <w:rPr>
          <w:rFonts w:ascii="Times New Roman" w:cs="Times New Roman" w:eastAsia="Times New Roman" w:hAnsi="Times New Roman"/>
          <w:sz w:val="18"/>
          <w:szCs w:val="18"/>
          <w:color w:val="auto"/>
        </w:rPr>
        <w:t>a determination as to any group status as contemplated above shall be determined in accordance with Section 13(d) of the Exchange Act and the rules and regulations promulgated thereunder. For purposes of this Section 2(d)(ix), in determining the number of outstanding Ordinary Shares, a Holder may rely on the number of outstanding Ordinary Shares as reflected in (A) the Company’s most recent periodic or annual report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4.99% of the number of Ordinary Shares outstanding immediately after giving effect to the issuance of the Warrant Shares issuable upon exercise of this Warrant. The Holder, upon notice to the Company, may increase or decrease the Beneficial Ownership Limitation provisions of this Section 2(d)(ix), provided that the Beneficial Ownership Limitation in no event exceeds 9.99% of the number of Ordinary Shares outstanding immediately after giving effect to the issuance of Warrant Shares upon exercise of this Warrant held by the Holder and the provisions of this Section 2(d)(ix)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2(d)(ix)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and this Section 2(d)(ix) may not be amended by the Company and the Holder. If the Warrant is unexercisable as a result of the Holder’s Beneficial Ownership Limitation, no alternate consideration is owing to the Holder.</w:t>
      </w:r>
    </w:p>
    <w:p>
      <w:pPr>
        <w:spacing w:after="0" w:line="188" w:lineRule="exact"/>
        <w:rPr>
          <w:sz w:val="20"/>
          <w:szCs w:val="20"/>
          <w:color w:val="auto"/>
        </w:rPr>
      </w:pPr>
    </w:p>
    <w:p>
      <w:pPr>
        <w:jc w:val="both"/>
        <w:ind w:firstLine="1304"/>
        <w:spacing w:after="0" w:line="252" w:lineRule="auto"/>
        <w:tabs>
          <w:tab w:leader="none" w:pos="1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Forced Exercise</w:t>
      </w:r>
      <w:r>
        <w:rPr>
          <w:rFonts w:ascii="Times New Roman" w:cs="Times New Roman" w:eastAsia="Times New Roman" w:hAnsi="Times New Roman"/>
          <w:sz w:val="18"/>
          <w:szCs w:val="18"/>
          <w:color w:val="auto"/>
        </w:rPr>
        <w:t>. In the event that the Last Reported Sale Price (as defined in the Note) per Ordinary Share has equaled or exceeded twenty five dollars ($25.00) (subject to appropriate adjustment in the event of any stock dividend, stock split, combination, or other similar recapitalization with respect to the Ordinary Shares) for each of the most recent twenty (20) consecutive Trading Days (such period, the “</w:t>
      </w:r>
      <w:r>
        <w:rPr>
          <w:rFonts w:ascii="Times New Roman" w:cs="Times New Roman" w:eastAsia="Times New Roman" w:hAnsi="Times New Roman"/>
          <w:sz w:val="18"/>
          <w:szCs w:val="18"/>
          <w:u w:val="single" w:color="auto"/>
          <w:color w:val="auto"/>
        </w:rPr>
        <w:t>Forced Exercise Period</w:t>
      </w:r>
      <w:r>
        <w:rPr>
          <w:rFonts w:ascii="Times New Roman" w:cs="Times New Roman" w:eastAsia="Times New Roman" w:hAnsi="Times New Roman"/>
          <w:sz w:val="18"/>
          <w:szCs w:val="18"/>
          <w:color w:val="auto"/>
        </w:rPr>
        <w:t>”), then the Company may, at its sole discretion, if the Equity Conditions (as defined below) are then satisfied, provide written notice in accordance with Section 5(i), to the Holder requiring the Holder to exercise this Warrant in full (and not in part) (the “</w:t>
      </w:r>
      <w:r>
        <w:rPr>
          <w:rFonts w:ascii="Times New Roman" w:cs="Times New Roman" w:eastAsia="Times New Roman" w:hAnsi="Times New Roman"/>
          <w:sz w:val="18"/>
          <w:szCs w:val="18"/>
          <w:u w:val="single" w:color="auto"/>
          <w:color w:val="auto"/>
        </w:rPr>
        <w:t>Forced Exercise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forced exercise will be effected unless the Equity Conditions are satisfied on each Trading Day from and including the date of the Forced Exercise Notice through and including the date on which the corresponding consideration is delivered in accordance with this Section 2(e) (the “</w:t>
      </w:r>
      <w:r>
        <w:rPr>
          <w:rFonts w:ascii="Times New Roman" w:cs="Times New Roman" w:eastAsia="Times New Roman" w:hAnsi="Times New Roman"/>
          <w:sz w:val="18"/>
          <w:szCs w:val="18"/>
          <w:u w:val="single" w:color="auto"/>
          <w:color w:val="auto"/>
        </w:rPr>
        <w:t>Closing Period</w:t>
      </w:r>
      <w:r>
        <w:rPr>
          <w:rFonts w:ascii="Times New Roman" w:cs="Times New Roman" w:eastAsia="Times New Roman" w:hAnsi="Times New Roman"/>
          <w:sz w:val="18"/>
          <w:szCs w:val="18"/>
          <w:color w:val="auto"/>
        </w:rPr>
        <w:t>”). The date of exercise with respect to any such forced exercise shall be the date upon which the Company delivers the Forced Exercise Notice to the Holder. The forced exercise shall be a cash exercise unless and to the extent that the Holder notifies the Company that such exercise shall be a deduction, effective upon the Holder’s receipt of the applicable Warrant Shares issuable pursuant to such Forced Exercise Notice (the “</w:t>
      </w:r>
      <w:r>
        <w:rPr>
          <w:rFonts w:ascii="Times New Roman" w:cs="Times New Roman" w:eastAsia="Times New Roman" w:hAnsi="Times New Roman"/>
          <w:sz w:val="18"/>
          <w:szCs w:val="18"/>
          <w:b w:val="1"/>
          <w:bCs w:val="1"/>
          <w:u w:val="single" w:color="auto"/>
          <w:color w:val="auto"/>
        </w:rPr>
        <w:t>Forced Exercise Warrant Shares</w:t>
      </w:r>
      <w:r>
        <w:rPr>
          <w:rFonts w:ascii="Times New Roman" w:cs="Times New Roman" w:eastAsia="Times New Roman" w:hAnsi="Times New Roman"/>
          <w:sz w:val="18"/>
          <w:szCs w:val="18"/>
          <w:color w:val="auto"/>
        </w:rPr>
        <w:t>”), from the outstanding principal amount under the Note in an amount equal to any or all, at the Holder’s option, of such aggregate Exercise Price. So long as the Holder delivers</w:t>
      </w:r>
    </w:p>
    <w:p>
      <w:pPr>
        <w:spacing w:after="0" w:line="4"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the aggregate Exercise Price or a Principal Reduction Notice (or aggregate nominal value, if applicable) on or prior to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on which the Forced Exercise Notice has been delivered by the Company,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1" w:name="page192"/>
    <w:bookmarkEnd w:id="191"/>
    <w:p>
      <w:pPr>
        <w:jc w:val="both"/>
        <w:spacing w:after="0" w:line="204" w:lineRule="auto"/>
        <w:rPr>
          <w:sz w:val="20"/>
          <w:szCs w:val="20"/>
          <w:color w:val="auto"/>
        </w:rPr>
      </w:pPr>
      <w:r>
        <w:rPr>
          <w:rFonts w:ascii="Times New Roman" w:cs="Times New Roman" w:eastAsia="Times New Roman" w:hAnsi="Times New Roman"/>
          <w:sz w:val="18"/>
          <w:szCs w:val="18"/>
          <w:color w:val="auto"/>
        </w:rPr>
        <w:t>then on or prior to the earlier of (i)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and (ii) the number of Trading Days comprising the Standard Settlement Period, in each case, following the date on which the Forced Exercise Notice has been delivered by the Company, or, if the Holder does not deliver the aggregate Exercise Price or a Principal Reduction Notice (or the aggregate nominal value, if applicable) on or prior to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on which the</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Forced Exercise Notice has been delivered by the Company, then on or prior to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on which the aggregate Exercise Price or a Principal Reduction Notice (or the aggregate nominal value, if applicable) is delivered (such earlier date, or if later, the earliest day on which the Company is required to deliver Forced Exercise Warrant Shares pursuant to this Section 2(e), also constituting a Warrant Share Delivery Date), the Company shall (X) provided that the Transfer Agent is participating in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credit such aggregate number of Forced Exercise Warrant Shares to which the Holder is entitled pursuant to such exercise to the Holder’s or its designee’s balance account with DTC through its Deposit / Withdrawal At Custodian system, or (Y) if the Transfer Agent is not participating in FAST, issue and dispatch by overnight courier to the address as specified in the Exercise Notice, a certificate, registered in the name of the Holder or its designee, for the number of Forced Exercise Warrant Shares to which the Holder is entitled pursuant to such exercise. “</w:t>
      </w:r>
      <w:r>
        <w:rPr>
          <w:rFonts w:ascii="Times New Roman" w:cs="Times New Roman" w:eastAsia="Times New Roman" w:hAnsi="Times New Roman"/>
          <w:sz w:val="18"/>
          <w:szCs w:val="18"/>
          <w:u w:val="single" w:color="auto"/>
          <w:color w:val="auto"/>
        </w:rPr>
        <w:t>Equity Conditions</w:t>
      </w:r>
      <w:r>
        <w:rPr>
          <w:rFonts w:ascii="Times New Roman" w:cs="Times New Roman" w:eastAsia="Times New Roman" w:hAnsi="Times New Roman"/>
          <w:sz w:val="18"/>
          <w:szCs w:val="18"/>
          <w:color w:val="auto"/>
        </w:rPr>
        <w:t>” will be deemed to be satisfied as of any date if all of the following conditions are satisfied as of such date and on each of the twenty (20) previous Trading Days: (A) all shares issuable upon exercise of this Warrant are Freely Tradable; (B) the Holder is not in possession of any material non-public information; (C) the issuance of such shares will not be limited by Section 2(d)(ix); (D) such shares will satisfy Section 7(E)(i) of the Note (mutatis mutandis); (E) no pending, proposed or intended Fundamental Transaction has occurred that has not been abandoned, terminated or consummated; (F) 50% of the median daily dollar trading volume (as reported on Bloomberg) of the Ordinary Shares on the Nasdaq Global Market (or the principal, in terms of volume, Trading Market on which the Ordinary Shares are listed for trading) during the Forced Exercise Period is greater than the aggregate Exercise Price subject to such Forced Exercise; (G) no delisting or suspension by the principal, in terms of volume, Eligible Exchange (as defined in the Note) on which the Company is then listed or traded has been threatened (with a reasonable prospect of delisting or suspension occurring after giving effect to all applicable notice, appeal, compliance and hearing periods) or is reasonably likely to occur or pending as evidenced by (x) a writing by such Eligible Exchange or (y) the Company falling below the minimum listing maintenance requirements, if applicable, of such Eligible Exchange; and (H) no Event of Default (as defined in the Note) will have occurred that has not been waived and no Default (as defined in the Note) will have occurred and be continuing which has not been waived. “</w:t>
      </w:r>
      <w:r>
        <w:rPr>
          <w:rFonts w:ascii="Times New Roman" w:cs="Times New Roman" w:eastAsia="Times New Roman" w:hAnsi="Times New Roman"/>
          <w:sz w:val="18"/>
          <w:szCs w:val="18"/>
          <w:u w:val="single" w:color="auto"/>
          <w:color w:val="auto"/>
        </w:rPr>
        <w:t>Freely Tradable</w:t>
      </w:r>
      <w:r>
        <w:rPr>
          <w:rFonts w:ascii="Times New Roman" w:cs="Times New Roman" w:eastAsia="Times New Roman" w:hAnsi="Times New Roman"/>
          <w:sz w:val="18"/>
          <w:szCs w:val="18"/>
          <w:color w:val="auto"/>
        </w:rPr>
        <w:t>” means, with respect to Warrant Shares issued or issuable pursuant to this Warrant, that (A) all such shares will be eligible to be offered, sold or otherwise transferred by the Holder pursuant to an effective registration statement and without any requirement for registration under any state securities or “blue sky” laws; and (B) all such shares are (or, when issued, will be) (i) represented by book-entries at DTC and identified therein by an “unrestricted” CUSIP number; (ii) not represented by any certificate that bears a legend referring to transfer restrictions under the Securities Act or other securities laws; and (iii) listed and admitted for trading, without suspension or material limitation on trading, on an Eligible Exchange.</w:t>
      </w:r>
    </w:p>
    <w:p>
      <w:pPr>
        <w:spacing w:after="0" w:line="199" w:lineRule="exact"/>
        <w:rPr>
          <w:sz w:val="20"/>
          <w:szCs w:val="20"/>
          <w:color w:val="auto"/>
        </w:rPr>
      </w:pPr>
    </w:p>
    <w:p>
      <w:pPr>
        <w:ind w:left="180" w:hanging="172"/>
        <w:spacing w:after="0"/>
        <w:tabs>
          <w:tab w:leader="none" w:pos="1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Ordinary Shares or any other equity or Ordinary Share Equivalents payable in Ordinary Shares (which, for avoidance of doubt, shall not include any Warrant Shares issued by the Company upon exercise of this Warrant), (ii) subdivides outstanding Ordinary Shares into a larger number of shares, (iii) combines (including by way of reverse stock split) outstanding Ordinary Shares into a smaller number of shares, or (iv) issues by reclassification of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remains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2" w:name="page193"/>
    <w:bookmarkEnd w:id="192"/>
    <w:p>
      <w:pPr>
        <w:jc w:val="both"/>
        <w:ind w:firstLine="1304"/>
        <w:spacing w:after="0" w:line="253" w:lineRule="auto"/>
        <w:tabs>
          <w:tab w:leader="none" w:pos="155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Ordinary Share Equivalents or rights to purchase shares, warrants, securities or other property pro rata to the record holders of any class of Ordinary Shares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If, at any time while this Warrant is outstanding (such period, the “</w:t>
      </w:r>
      <w:r>
        <w:rPr>
          <w:rFonts w:ascii="Times New Roman" w:cs="Times New Roman" w:eastAsia="Times New Roman" w:hAnsi="Times New Roman"/>
          <w:sz w:val="18"/>
          <w:szCs w:val="18"/>
          <w:u w:val="single" w:color="auto"/>
          <w:color w:val="auto"/>
        </w:rPr>
        <w:t>Adjustment Period</w:t>
      </w:r>
      <w:r>
        <w:rPr>
          <w:rFonts w:ascii="Times New Roman" w:cs="Times New Roman" w:eastAsia="Times New Roman" w:hAnsi="Times New Roman"/>
          <w:sz w:val="18"/>
          <w:szCs w:val="18"/>
          <w:color w:val="auto"/>
        </w:rPr>
        <w:t>”), the Company issues, sells, enters into an agreement to sell, or grants any option to purchase, or sells, enters into an agreement to sell, or grants any right to reprice, or otherwise disposes of or issues (or announces any offer, sale, grant or any option to purchase or other disposition), or, in accordance with this Section 3(c), is deemed to have issued or sold, any Ordinary Shares or Ordinary Share Equivalents (excluding any Exempt Issuance (as defined below) issued or sold or deemed to have been issued or sold) for a consideration per share (the “</w:t>
      </w:r>
      <w:r>
        <w:rPr>
          <w:rFonts w:ascii="Times New Roman" w:cs="Times New Roman" w:eastAsia="Times New Roman" w:hAnsi="Times New Roman"/>
          <w:sz w:val="18"/>
          <w:szCs w:val="18"/>
          <w:u w:val="single" w:color="auto"/>
          <w:color w:val="auto"/>
        </w:rPr>
        <w:t>Dilutive Issuance Price</w:t>
      </w:r>
      <w:r>
        <w:rPr>
          <w:rFonts w:ascii="Times New Roman" w:cs="Times New Roman" w:eastAsia="Times New Roman" w:hAnsi="Times New Roman"/>
          <w:sz w:val="18"/>
          <w:szCs w:val="18"/>
          <w:color w:val="auto"/>
        </w:rPr>
        <w:t>”) less than a price equal to the Exercise Price in effect immediately prior to such issue or sale or deemed issuance or sale (such price is referred to as the “</w:t>
      </w:r>
      <w:r>
        <w:rPr>
          <w:rFonts w:ascii="Times New Roman" w:cs="Times New Roman" w:eastAsia="Times New Roman" w:hAnsi="Times New Roman"/>
          <w:sz w:val="18"/>
          <w:szCs w:val="18"/>
          <w:u w:val="single" w:color="auto"/>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u w:val="single" w:color="auto"/>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then simultaneously with the consummation (or, if earlier, the announcement) of such Dilutive Issuance, the Exercise Price then in effect shall be reduced to an amount equal to the Dilutive Issuance Price (the “</w:t>
      </w:r>
      <w:r>
        <w:rPr>
          <w:rFonts w:ascii="Times New Roman" w:cs="Times New Roman" w:eastAsia="Times New Roman" w:hAnsi="Times New Roman"/>
          <w:sz w:val="18"/>
          <w:szCs w:val="18"/>
          <w:u w:val="single" w:color="auto"/>
          <w:color w:val="auto"/>
        </w:rPr>
        <w:t>New Issuance Price</w:t>
      </w:r>
      <w:r>
        <w:rPr>
          <w:rFonts w:ascii="Times New Roman" w:cs="Times New Roman" w:eastAsia="Times New Roman" w:hAnsi="Times New Roman"/>
          <w:sz w:val="18"/>
          <w:szCs w:val="18"/>
          <w:color w:val="auto"/>
        </w:rPr>
        <w:t>”); provided that, no adjustment shall be made if such adjustment would result in an increase of the Exercise Price then in effect. Notwithstanding the foregoing, no adjustments shall be made, paid or issued under this Section 3(c) in respect of an Exempt Issuance. The Company shall notify the Holder, in writing, no later than the Trading Day following the issuance or deemed issuance of any Ordinary Shares or Ordinary Share Equivalents subject to this Section 3(c), indicating therein the applicable issuance price, or applicable reset price, exchange price, conversion price and other pricing terms (such notice, the “</w:t>
      </w:r>
      <w:r>
        <w:rPr>
          <w:rFonts w:ascii="Times New Roman" w:cs="Times New Roman" w:eastAsia="Times New Roman" w:hAnsi="Times New Roman"/>
          <w:sz w:val="18"/>
          <w:szCs w:val="18"/>
          <w:u w:val="single" w:color="auto"/>
          <w:color w:val="auto"/>
        </w:rPr>
        <w:t>Dilutive Issuance Notice</w:t>
      </w:r>
      <w:r>
        <w:rPr>
          <w:rFonts w:ascii="Times New Roman" w:cs="Times New Roman" w:eastAsia="Times New Roman" w:hAnsi="Times New Roman"/>
          <w:sz w:val="18"/>
          <w:szCs w:val="18"/>
          <w:color w:val="auto"/>
        </w:rPr>
        <w:t>”). For purposes of clarification, whether or not the Company provides a Dilutive Issuance Notice pursuant to this Section 3(c), upon the occurrence of any Dilutive Issuance, the Holder is entitled to receive a number of Warrant Shares based upon the New Issuance Price regardless of whether the Holder accurately refers to the New Issuance Price in the Notice of Exercise. If the Company enters into a PubCo Variable Rate Transaction (as defined in the Securities Purchase Agreement), the Company shall be deemed to have issued Ordinary Shares or Ordinary Share Equivalents at the lowest possible price,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3" w:name="page194"/>
    <w:bookmarkEnd w:id="193"/>
    <w:p>
      <w:pPr>
        <w:jc w:val="both"/>
        <w:spacing w:after="0" w:line="253" w:lineRule="auto"/>
        <w:rPr>
          <w:sz w:val="20"/>
          <w:szCs w:val="20"/>
          <w:color w:val="auto"/>
        </w:rPr>
      </w:pPr>
      <w:r>
        <w:rPr>
          <w:rFonts w:ascii="Times New Roman" w:cs="Times New Roman" w:eastAsia="Times New Roman" w:hAnsi="Times New Roman"/>
          <w:sz w:val="18"/>
          <w:szCs w:val="18"/>
          <w:color w:val="auto"/>
        </w:rPr>
        <w:t>conversion price or exercise price at which such securities may be issued, converted or exercised.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PubCo Options (as defined in the Securities Purchase Agreement) or PubCo Convertible Securities (as defined in the Securities Purchase Agreement) issued under any Approved Stock Plan (as defined below), so long as (i) the aggregate number of shares issued and issuable pursuant thereto does not exceed five percent (5%) of the Ordinary Shares issued and outstanding immediately prior to the date hereof and (ii) the exercise price of any such PubCo Options is not lowered and the conversion price of any such PubCo Convertible Securities is not lowered, none of such PubCo Options or PubCo Convertible Securities are amended to increase the number of shares issuable thereunder and none of the terms or conditions of any such options are otherwise materially changed in any manner that adversely affects the Holder; or (B) the issuances of Underlying Shares (as defined in the Securities Purchase Agreement). An “</w:t>
      </w:r>
      <w:r>
        <w:rPr>
          <w:rFonts w:ascii="Times New Roman" w:cs="Times New Roman" w:eastAsia="Times New Roman" w:hAnsi="Times New Roman"/>
          <w:sz w:val="18"/>
          <w:szCs w:val="18"/>
          <w:u w:val="single" w:color="auto"/>
          <w:color w:val="auto"/>
        </w:rPr>
        <w:t>Approved Stock Plan</w:t>
      </w:r>
      <w:r>
        <w:rPr>
          <w:rFonts w:ascii="Times New Roman" w:cs="Times New Roman" w:eastAsia="Times New Roman" w:hAnsi="Times New Roman"/>
          <w:sz w:val="18"/>
          <w:szCs w:val="18"/>
          <w:color w:val="auto"/>
        </w:rPr>
        <w:t>” means any security-based compensation plan which has been approved by the Board of Directors of the Company prior to the date hereof, pursuant to which Ordinary Shares, options to purchase Ordinary Shares and other incentive equity awards may be issued to any employee, officer or director for services provided to the Company in their capacity as such, and not for the purpose of raising capital, pursuant to any agreement approved by the Board of Directors or the compensation committee thereof. The terms “PubCo Variable Rate Transaction,” “PubCo Options” and “PubCo Convertible Securities” shall apply, mutatis mutandis, to the surviving entity in connection with any merger in which the Company is not the surviving entity.</w:t>
      </w:r>
    </w:p>
    <w:p>
      <w:pPr>
        <w:spacing w:after="0" w:line="187"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the Company in any manner grants, issues or sells (or enters into any agreement to grant, issue or sell) any PubCo Options and the lowest price per share for which one Ordinary Share is at any time issuable upon the exercise of any such PubCo Option or upon conversion, exercise or exchange of any Ordinary Share Equivalents issuable upon exercise of any such PubCo Option or otherwise pursuant to the terms thereof is less than the Applicable Price, then such Ordinary Share shall be deemed to be outstanding and to have been issued and sold by the Company at the time of the granting, issuance or sale (or the time of execution of such agreement to grant, issue or sell, as applicable) of such PubCo Option for such price per share. For purposes of this Section 3(c)(i), the “lowest price per share for which one Ordinary Share is at any time issuable upon the exercise of any such PubCo Options or upon conversion, exercise or exchange of any Ordinary Share Equivalents issuable upon exercise of any such PubCo Option or otherwise pursuant to the terms thereof” shall be equal to (1) the lower of (x) the sum of the lowest amounts of consideration (if any) received or receivable by the Company with respect to any one Ordinary Share upon the granting, issuance or sale (or pursuant to the agreement to grant, issue or sell, as applicable) of such PubCo Option, upon exercise of such PubCo Option and upon conversion, exercise or exchange of any Ordinary Share Equivalent issuable upon exercise of such PubCo Option or otherwise pursuant to the terms thereof and (y) the lowest exercise price set forth in such PubCo Option for which one Ordinary Share is issuable (or may become issuable assuming all possible market conditions) upon the exercise of any such PubCo Options or upon conversion, exercise or exchange of any Ordinary Share Equivalents issuable upon exercise of any such PubCo Option or otherwise pursuant to the terms thereof minus (2) the sum of all amounts paid or payable to the holder of such PubCo Option (or any other Person) upon the granting, issuance or sale (or the agreement to grant, issue or sell, as applicable) such PubCo Option, upon exercise of such PubCo Option and upon conversion, exercise or exchange of any Ordinary Share Equivalent issuable upon exercise of such PubCo Option or otherwise pursuant to the terms thereof plus the value of any other consideration received or receivable by, or benefit conferred on, the holder of such PubCo Option (or any other Person). Except as contemplated below, no further adjustment of the Exercise Price shall be made upon the actual issuance of such Ordinary Shares or of such Ordinary Share Equivalents upon the exercise of such PubCo Options or otherwise pursuant to the terms of or upon the actual issuance of such Ordinary Shares upon conversion, exercise or exchange of such Ordinary Share Equivalents.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4" w:name="page195"/>
    <w:bookmarkEnd w:id="194"/>
    <w:p>
      <w:pPr>
        <w:jc w:val="both"/>
        <w:ind w:left="180" w:firstLine="4"/>
        <w:spacing w:after="0" w:line="252" w:lineRule="auto"/>
        <w:tabs>
          <w:tab w:leader="none" w:pos="37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Ordinary Share Equivalents</w:t>
      </w:r>
      <w:r>
        <w:rPr>
          <w:rFonts w:ascii="Times New Roman" w:cs="Times New Roman" w:eastAsia="Times New Roman" w:hAnsi="Times New Roman"/>
          <w:sz w:val="18"/>
          <w:szCs w:val="18"/>
          <w:color w:val="auto"/>
        </w:rPr>
        <w:t>. If the Company in any manner issues or sells (or enters into any agreement to issue or sell) any Ordinary Share Equivalents and the lowest price per share for which one Ordinary Share is at any time issuable upon the conversion, exercise or exchange thereof or otherwise pursuant to the terms thereof is less than the Applicable Price, then such Ordinary Share shall be deemed to be outstanding and to have been issued and sold by the Company at the time of the issuance or sale (or the time of execution of such agreement to issue or sell, as applicable) of such Ordinary Share Equivalents for such price per share. For the purposes of this Section 3(c)(ii), the “lowest price per share for which one Ordinary Share is at any time issuable upon the conversion, exercise or exchange thereof or otherwise pursuant to the terms thereof” shall be equal to (1) the lower of (x) the sum of the lowest amounts of consideration (if any) received or receivable by the Company with respect to one Ordinary Share upon the issuance or sale (or pursuant to the agreement to issue or sell, as applicable) of the Ordinary Share Equivalent and upon conversion, exercise or exchange of such Ordinary Share Equivalent or otherwise pursuant to the terms thereof and (y) the lowest conversion price set forth in such Ordinary Share Equivalent for which one Ordinary Share is issuable (or may become issuable assuming all possible market conditions) upon conversion, exercise or exchange thereof or otherwise pursuant to the terms thereof minus (2) the sum of all amounts paid or payable to the holder of such Ordinary Share Equivalent (or any other Person) upon the issuance or sale (or the agreement to issue or sell, as applicable) of such Ordinary Share Equivalent plus the value of any other consideration received or receivable by, or benefit conferred on, the holder of such Ordinary Share Equivalent (or any other Person). Except as contemplated below, no further adjustment of the Exercise Price shall be made upon the actual issuance of such Ordinary Shares upon conversion, exercise or exchange of such Ordinary Share Equivalents or otherwise pursuant to the terms thereof, and if any such issuance or sale of such Ordinary Share Equivalents is made upon exercise of any PubCo Options for which adjustment of this Warrant has been or is to be made pursuant to other provisions of this Section 3(c), except as contemplated below, no further adjustment of the Exercise Price shall be made by reason of such issuance or sale.</w:t>
      </w:r>
    </w:p>
    <w:p>
      <w:pPr>
        <w:spacing w:after="0" w:line="190"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43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PubCo Options, the additional consideration, if any, payable upon the issue, conversion, exercise or exchange of any Ordinary Share Equivalents, or the rate at which any Ordinary Share Equivalents are convertible into or exercisable or exchangeable for Ordinary Shares increases or decreases at any time (other than proportional changes in conversion or exercise prices, as applicable, in connection with an event referred to in Section 3(a)), the Exercise Price in effect at the time of such increase or decrease shall be adjusted to the Exercise Price which would have been in effect at such time had such PubCo Options or Ordinary Share Equivalents provided for such increased or decreased purchase price, additional consideration or increased or decreased conversion rate, as the case may be, at the time initially granted, issued or sold. For purposes of this Section 3(c)(iii), if the terms of any PubCo Option or Ordinary Share Equivalent that was outstanding as of the Initial Exercise Date are increased or decreased in the manner described in the immediately preceding sentence, then such PubCo Option or Ordinary Share Equivalent and the Ordinary Shares deemed issuable upon exercise, conversion or exchange thereof shall be deemed to have been issued as of the date of such increase or decrease. No adjustment pursuant to this Section 3(c) shall be made if such adjustment would result in an increase of the Exercise Price then in effect.</w:t>
      </w:r>
    </w:p>
    <w:p>
      <w:pPr>
        <w:spacing w:after="0" w:line="29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95" w:name="page196"/>
    <w:bookmarkEnd w:id="195"/>
    <w:p>
      <w:pPr>
        <w:jc w:val="both"/>
        <w:ind w:left="180" w:firstLine="4"/>
        <w:spacing w:after="0" w:line="251" w:lineRule="auto"/>
        <w:tabs>
          <w:tab w:leader="none" w:pos="39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PubCo Option and/or Ordinary Share Equivalents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u w:val="single" w:color="auto"/>
          <w:color w:val="auto"/>
        </w:rPr>
        <w:t>Primary Security</w:t>
      </w:r>
      <w:r>
        <w:rPr>
          <w:rFonts w:ascii="Times New Roman" w:cs="Times New Roman" w:eastAsia="Times New Roman" w:hAnsi="Times New Roman"/>
          <w:sz w:val="18"/>
          <w:szCs w:val="18"/>
          <w:color w:val="auto"/>
        </w:rPr>
        <w:t>”, and such PubCo Option and/or Ordinary Share Equivalents and/or Adjustment Right, the “</w:t>
      </w:r>
      <w:r>
        <w:rPr>
          <w:rFonts w:ascii="Times New Roman" w:cs="Times New Roman" w:eastAsia="Times New Roman" w:hAnsi="Times New Roman"/>
          <w:sz w:val="18"/>
          <w:szCs w:val="18"/>
          <w:u w:val="single" w:color="auto"/>
          <w:color w:val="auto"/>
        </w:rPr>
        <w:t>Secondary Securities</w:t>
      </w:r>
      <w:r>
        <w:rPr>
          <w:rFonts w:ascii="Times New Roman" w:cs="Times New Roman" w:eastAsia="Times New Roman" w:hAnsi="Times New Roman"/>
          <w:sz w:val="18"/>
          <w:szCs w:val="18"/>
          <w:color w:val="auto"/>
        </w:rPr>
        <w:t>” and together with the Primary Security, each a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together comprising one integrated transaction, the aggregate consideration per Ordinary Share with respect to such Primary Security shall be deemed to be the lowest of (x) the purchase price of such Unit, (y) if such Primary Security is a PubCo Option and/or Ordinary Share Equivalent, the lowest price per share for which one Ordinary Share is at any time issuable upon the exercise or conversion of the Primary Security in accordance with Section 3(c)(i) or 3(c)(ii) above and (z) the lowest VWAP of the Ordinary Shares on any Trading Day during the five (5) Trading Day period (the “</w:t>
      </w:r>
      <w:r>
        <w:rPr>
          <w:rFonts w:ascii="Times New Roman" w:cs="Times New Roman" w:eastAsia="Times New Roman" w:hAnsi="Times New Roman"/>
          <w:sz w:val="18"/>
          <w:szCs w:val="18"/>
          <w:u w:val="single" w:color="auto"/>
          <w:color w:val="auto"/>
        </w:rPr>
        <w:t>Adjustment Period</w:t>
      </w:r>
      <w:r>
        <w:rPr>
          <w:rFonts w:ascii="Times New Roman" w:cs="Times New Roman" w:eastAsia="Times New Roman" w:hAnsi="Times New Roman"/>
          <w:sz w:val="18"/>
          <w:szCs w:val="18"/>
          <w:color w:val="auto"/>
        </w:rPr>
        <w:t>”) immediately following the public announcement of such Dilutive Issuance (for the avoidance of doubt, if such public announcement is released prior to the opening of the applicable Trading Market on a Trading Day, such Trading Day shall be the first Trading Day in such five Trading Day period and if this Warrant is exercised, on any given Exercise Date during any such Adjustment Period, solely with respect to such portion of this Warrant converted on such applicable Exercise Date, such applicable Adjustment Period shall be deemed to have ended on, and included, the Trading Day immediately prior to such Exercise Date). If any Ordinary Shares, PubCo Options or Ordinary Share Equivalents are issued or sold or deemed to have been issued or sold for cash, the consideration received therefor will be deemed to be the net amount of consideration received by the Company therefor. If any Ordinary Shares, PubCo Options or Ordinary Share Equivalents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Ordinary Shares, PubCo Options or Ordinary Share Equivalents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Ordinary Shares, PubCo Options or Ordinary Share Equivalents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u w:val="single" w:color="auto"/>
          <w:color w:val="auto"/>
        </w:rPr>
        <w:t>Valuation Event</w:t>
      </w:r>
      <w:r>
        <w:rPr>
          <w:rFonts w:ascii="Times New Roman" w:cs="Times New Roman" w:eastAsia="Times New Roman" w:hAnsi="Times New Roman"/>
          <w:sz w:val="18"/>
          <w:szCs w:val="18"/>
          <w:color w:val="auto"/>
        </w:rPr>
        <w:t>”),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 For purposes of hereof, “</w:t>
      </w:r>
      <w:r>
        <w:rPr>
          <w:rFonts w:ascii="Times New Roman" w:cs="Times New Roman" w:eastAsia="Times New Roman" w:hAnsi="Times New Roman"/>
          <w:sz w:val="18"/>
          <w:szCs w:val="18"/>
          <w:u w:val="single" w:color="auto"/>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this Section 3(c)) of Ordinary Shares that could result in a decrease in the net consideration received by the Company in connection with, or with respect to, such securities (including, without limitation, any cash settlement rights, cash adjustment or other similar rights).</w:t>
      </w:r>
    </w:p>
    <w:p>
      <w:pPr>
        <w:spacing w:after="0" w:line="3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96" w:name="page197"/>
    <w:bookmarkEnd w:id="196"/>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Ordinary Shares for the purpose of entitling them (A) to receive a dividend or other distribution payable in Ordinary Shares, PubCo Options or in Ordinary Share Equivalents or (B) to subscribe for or purchase Ordinary Shares, PubCo Options or Ordinary Share Equivalents, then such record date will be deemed to be the date of the issuance or sale of the Ordinary Shares deemed to have been issued or sold upon the declaration of such dividend or the making of such other distribution or the date of the granting of such right of subscription or purchase (as the case may be).</w:t>
      </w:r>
    </w:p>
    <w:p>
      <w:pPr>
        <w:spacing w:after="0" w:line="183" w:lineRule="exact"/>
        <w:rPr>
          <w:sz w:val="20"/>
          <w:szCs w:val="20"/>
          <w:color w:val="auto"/>
        </w:rPr>
      </w:pPr>
    </w:p>
    <w:p>
      <w:pPr>
        <w:jc w:val="both"/>
        <w:ind w:firstLine="1304"/>
        <w:spacing w:after="0" w:line="261" w:lineRule="auto"/>
        <w:tabs>
          <w:tab w:leader="none" w:pos="155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Section 3(c), the number of Warrant Shares that may be purchased upon exercise of this Warrant shall be increased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or 50% or more of the voting power of the common equity of the Company, (iv) the Company, directly or indirectly, in one or more related transactions effects any reclassification, reorganization or recapitalization of Ordinary Shares or any compulsory share exchange pursuant to which the Ordinary Shares are effectively converted into or exchanged for other securities, cash or property, (v) the Company, directly or indirectly,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7" w:name="page198"/>
    <w:bookmarkEnd w:id="197"/>
    <w:p>
      <w:pPr>
        <w:jc w:val="both"/>
        <w:spacing w:after="0" w:line="266" w:lineRule="auto"/>
        <w:rPr>
          <w:sz w:val="20"/>
          <w:szCs w:val="20"/>
          <w:color w:val="auto"/>
        </w:rPr>
      </w:pPr>
      <w:r>
        <w:rPr>
          <w:rFonts w:ascii="Times New Roman" w:cs="Times New Roman" w:eastAsia="Times New Roman" w:hAnsi="Times New Roman"/>
          <w:sz w:val="17"/>
          <w:szCs w:val="17"/>
          <w:color w:val="auto"/>
        </w:rPr>
        <w:t>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or 50% or more of the voting power of the common equity of the Company, or (vi) the transfer restrictions set forth in Section 5 of that certain Lock-Up Agreement, dated as of February 24, 2026, by and among Voyager Acquisition Corp., Veraxa Biotech AG and European Molecular Biology Laboratory (as in effect as of the Issuance Date and without giving effect to any amendments, amendments and restatements, supplements, or other modifications thereto after the Issuance Date), terminate in accordance with Section 5(a)(ii) thereof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2(d)(ix) on the exercise of this Warrant), the number of Ordinary Shares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Ordinary Shares for which this Warrant is exercisable immediately prior to such Fundamental Transaction (without regard to any limitation in Section 2(d)(ix)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w:t>
      </w:r>
    </w:p>
    <w:p>
      <w:pPr>
        <w:spacing w:after="0" w:line="213" w:lineRule="exact"/>
        <w:rPr>
          <w:sz w:val="20"/>
          <w:szCs w:val="20"/>
          <w:color w:val="auto"/>
        </w:rPr>
      </w:pPr>
    </w:p>
    <w:p>
      <w:pPr>
        <w:ind w:left="260" w:hanging="252"/>
        <w:spacing w:after="0"/>
        <w:tabs>
          <w:tab w:leader="none" w:pos="2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365 day volatility, each of clauses (1)-(3) as obtained from the HVT function on Bloomberg (determined utilizing a 365-day annualization factor)</w:t>
      </w:r>
    </w:p>
    <w:p>
      <w:pPr>
        <w:spacing w:after="0" w:line="31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8" w:name="page199"/>
    <w:bookmarkEnd w:id="198"/>
    <w:p>
      <w:pPr>
        <w:jc w:val="both"/>
        <w:spacing w:after="0" w:line="251" w:lineRule="auto"/>
        <w:rPr>
          <w:sz w:val="20"/>
          <w:szCs w:val="20"/>
          <w:color w:val="auto"/>
        </w:rPr>
      </w:pPr>
      <w:r>
        <w:rPr>
          <w:rFonts w:ascii="Times New Roman" w:cs="Times New Roman" w:eastAsia="Times New Roman" w:hAnsi="Times New Roman"/>
          <w:sz w:val="18"/>
          <w:szCs w:val="18"/>
          <w:color w:val="auto"/>
        </w:rPr>
        <w:t>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3(f),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within five Business Days of the Holder’s election (or, if later, on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3(f)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3(f) regardless of whether the Company has sufficient authorized Ordinary Shares for the issuance of Warrant Shares.</w:t>
      </w:r>
    </w:p>
    <w:p>
      <w:pPr>
        <w:spacing w:after="0" w:line="204" w:lineRule="exact"/>
        <w:rPr>
          <w:sz w:val="20"/>
          <w:szCs w:val="20"/>
          <w:color w:val="auto"/>
        </w:rPr>
      </w:pPr>
    </w:p>
    <w:p>
      <w:pPr>
        <w:jc w:val="both"/>
        <w:ind w:firstLine="1304"/>
        <w:spacing w:after="0" w:line="266" w:lineRule="auto"/>
        <w:tabs>
          <w:tab w:leader="none" w:pos="155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an Ordinary Share,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60" w:hanging="8"/>
        <w:spacing w:after="0" w:line="266" w:lineRule="auto"/>
        <w:tabs>
          <w:tab w:leader="none" w:pos="220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9" w:name="page200"/>
    <w:bookmarkEnd w:id="199"/>
    <w:p>
      <w:pPr>
        <w:jc w:val="both"/>
        <w:ind w:left="1960" w:hanging="8"/>
        <w:spacing w:after="0" w:line="251" w:lineRule="auto"/>
        <w:tabs>
          <w:tab w:leader="none" w:pos="2238"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shares of capital stock of any class or of any rights, (D) the approval of any stockholders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6-K or Form 8-K, as applicable. The Holder shall remain entitled to exercise this Warrant during the period commencing on the date of such notice to the effective date of the event triggering such notice except as may otherwise be expressly set forth herein.</w:t>
      </w:r>
    </w:p>
    <w:p>
      <w:pPr>
        <w:spacing w:after="0" w:line="20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0" w:name="page201"/>
    <w:bookmarkEnd w:id="200"/>
    <w:p>
      <w:pPr>
        <w:jc w:val="both"/>
        <w:ind w:firstLine="1304"/>
        <w:spacing w:after="0" w:line="256" w:lineRule="auto"/>
        <w:tabs>
          <w:tab w:leader="none" w:pos="1551"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Warrant are in United States Dollars (“</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unless otherwise stated. All amounts owing under this Warrant shall be paid in U.S. Dollars. All amounts denominated in other currencies shall be converted in the U.S. Dollar equivalent amount in accordance with the Exchange Rate on the date of calculation.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Warrant, the U.S. Dollar exchange rate as published in the Wall Street Journal (New York edition) on the relevant date of calculation.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cash payments pursuant to Sections 2(d)(ii), 2(d)(v) and 2(d)(vi) herein,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1" w:name="page202"/>
    <w:bookmarkEnd w:id="201"/>
    <w:p>
      <w:pPr>
        <w:ind w:firstLine="1304"/>
        <w:spacing w:after="0" w:line="282" w:lineRule="auto"/>
        <w:tabs>
          <w:tab w:leader="none" w:pos="155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that the Warrant is outstanding, it will reserve from its conditional share capital a sufficient number of shares to provide for the issuance of the Warrant Shares upon the exercise of any rights to receive Warrant Shares under this Warrant. The Company further covenants that its issuance of this Warrant shall constitute full authority to its officers who are charged with the duty of issuing the necessary Warrant Shares upon the exercise of the rights under this Warrant. The Company will take all such reasonable action as may be necessary to assure that such Warrant Shares may be issued and delivered, as provided herein without violation of any applicable law or regulation, or of any requirements of the Trading Market upon which the Ordinary Shares may be listed. The Company covenants that all Warrant Shares underlying this Warrant which may be issued upon the exercise of the rights represented by this Warrant will, upon exercise of the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Ordinary Shares above the amount payable therefor upon such exercise immediately prior to such increase in par value, (ii) take all such action as may be necessary or appropriate in order that the Company may validly and legally issue fully paid and nonassessable Ordinary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1304"/>
        <w:spacing w:after="0" w:line="282" w:lineRule="auto"/>
        <w:tabs>
          <w:tab w:leader="none" w:pos="152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Securities Purchase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federal or foreign securities laws.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Securities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2" w:name="page203"/>
    <w:bookmarkEnd w:id="202"/>
    <w:p>
      <w:pPr>
        <w:ind w:firstLine="1304"/>
        <w:spacing w:after="0" w:line="282" w:lineRule="auto"/>
        <w:tabs>
          <w:tab w:leader="none" w:pos="151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Securities Purchase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1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other than this Section 5(m) and the provision restricting the amendment of Section 2(d)(ix),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this Warrant.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 indicated.</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(now known as Veraxa Biotech AG following the consummation of the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Oliver Baumann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Oliver Baumann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Manager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 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 Antz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4" w:name="page205"/>
    <w:bookmarkEnd w:id="2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VERAXA BIOTECH HOLDING AG</w:t>
      </w:r>
    </w:p>
    <w:p>
      <w:pPr>
        <w:spacing w:after="0" w:line="229" w:lineRule="exact"/>
        <w:rPr>
          <w:sz w:val="20"/>
          <w:szCs w:val="20"/>
          <w:color w:val="auto"/>
        </w:rPr>
      </w:pPr>
    </w:p>
    <w:p>
      <w:pPr>
        <w:ind w:left="260" w:hanging="252"/>
        <w:spacing w:after="0"/>
        <w:tabs>
          <w:tab w:leader="none" w:pos="2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reference to article [3a] of the Company’s articles of association, the undersigned hereby gives notice to the Company of its election to subscribe for</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 Warrant Shares of the Company pursuant to that certain Warrant issued by the Company to the undersigned on [ ● ], 2026, and irrevocably undertakes to pay the exercise price of $ ___________ in full, together with all applicable transfer taxes, if any, as set forth below.</w:t>
      </w:r>
    </w:p>
    <w:p>
      <w:pPr>
        <w:spacing w:after="0" w:line="18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1300" w:right="1300" w:hanging="644"/>
        <w:spacing w:after="0" w:line="282" w:lineRule="auto"/>
        <w:tabs>
          <w:tab w:leader="none" w:pos="1300" w:val="left"/>
        </w:tabs>
        <w:numPr>
          <w:ilvl w:val="1"/>
          <w:numId w:val="1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by payment of the exercise price of $ ________ to the following bank account (the “Bank”):</w:t>
      </w:r>
    </w:p>
    <w:p>
      <w:pPr>
        <w:spacing w:after="0" w:line="161" w:lineRule="exact"/>
        <w:rPr>
          <w:rFonts w:ascii="MS PGothic" w:cs="MS PGothic" w:eastAsia="MS PGothic" w:hAnsi="MS PGothic"/>
          <w:sz w:val="18"/>
          <w:szCs w:val="18"/>
          <w:color w:val="auto"/>
        </w:rPr>
      </w:pPr>
    </w:p>
    <w:p>
      <w:pPr>
        <w:ind w:left="1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Bank: [Swiss bank]</w:t>
      </w:r>
    </w:p>
    <w:p>
      <w:pPr>
        <w:spacing w:after="0" w:line="27" w:lineRule="exact"/>
        <w:rPr>
          <w:rFonts w:ascii="MS PGothic" w:cs="MS PGothic" w:eastAsia="MS PGothic" w:hAnsi="MS PGothic"/>
          <w:sz w:val="18"/>
          <w:szCs w:val="18"/>
          <w:color w:val="auto"/>
        </w:rPr>
      </w:pPr>
    </w:p>
    <w:p>
      <w:pPr>
        <w:ind w:left="1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Account holder: [●]</w:t>
      </w:r>
    </w:p>
    <w:p>
      <w:pPr>
        <w:spacing w:after="0" w:line="9" w:lineRule="exact"/>
        <w:rPr>
          <w:rFonts w:ascii="MS PGothic" w:cs="MS PGothic" w:eastAsia="MS PGothic" w:hAnsi="MS PGothic"/>
          <w:sz w:val="18"/>
          <w:szCs w:val="18"/>
          <w:color w:val="auto"/>
        </w:rPr>
      </w:pPr>
    </w:p>
    <w:p>
      <w:pPr>
        <w:ind w:left="1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IBAN: [●]</w:t>
      </w:r>
    </w:p>
    <w:p>
      <w:pPr>
        <w:spacing w:after="0" w:line="9" w:lineRule="exact"/>
        <w:rPr>
          <w:rFonts w:ascii="MS PGothic" w:cs="MS PGothic" w:eastAsia="MS PGothic" w:hAnsi="MS PGothic"/>
          <w:sz w:val="18"/>
          <w:szCs w:val="18"/>
          <w:color w:val="auto"/>
        </w:rPr>
      </w:pPr>
    </w:p>
    <w:p>
      <w:pPr>
        <w:ind w:left="1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SWIFT: [●]; or</w:t>
      </w:r>
    </w:p>
    <w:p>
      <w:pPr>
        <w:spacing w:after="0" w:line="206" w:lineRule="exact"/>
        <w:rPr>
          <w:rFonts w:ascii="MS PGothic" w:cs="MS PGothic" w:eastAsia="MS PGothic" w:hAnsi="MS PGothic"/>
          <w:sz w:val="18"/>
          <w:szCs w:val="18"/>
          <w:color w:val="auto"/>
        </w:rPr>
      </w:pPr>
    </w:p>
    <w:p>
      <w:pPr>
        <w:jc w:val="both"/>
        <w:ind w:left="1300" w:right="1300" w:hanging="644"/>
        <w:spacing w:after="0" w:line="261" w:lineRule="auto"/>
        <w:tabs>
          <w:tab w:leader="none" w:pos="1300" w:val="left"/>
        </w:tabs>
        <w:numPr>
          <w:ilvl w:val="1"/>
          <w:numId w:val="1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cancellation of such number of Warrant Shares as is necessary, in accordance with the formula set forth in subsection 2(c), to exercise this Warrant with respect to the maximum number of Warrant Shares purchasable pursuant to the nominal value exercise procedure set forth in subsection 2(c), together with payment to the Bank of the applicable nominal value of the Warrant Shares to be issued to the Holder in accordance with subsection 2(c).</w:t>
      </w:r>
    </w:p>
    <w:p>
      <w:pPr>
        <w:spacing w:after="0" w:line="179" w:lineRule="exact"/>
        <w:rPr>
          <w:rFonts w:ascii="MS PGothic" w:cs="MS PGothic" w:eastAsia="MS PGothic" w:hAnsi="MS PGothic"/>
          <w:sz w:val="18"/>
          <w:szCs w:val="18"/>
          <w:color w:val="auto"/>
        </w:rPr>
      </w:pPr>
    </w:p>
    <w:p>
      <w:pPr>
        <w:ind w:left="1300" w:right="1300" w:hanging="644"/>
        <w:spacing w:after="0" w:line="282" w:lineRule="auto"/>
        <w:tabs>
          <w:tab w:leader="none" w:pos="1300" w:val="left"/>
        </w:tabs>
        <w:numPr>
          <w:ilvl w:val="1"/>
          <w:numId w:val="1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deduction and set-off from the outstanding principal amount under the Senior Secured Note due 2027 issued by the Company to the Holder on the Issuance Date in accordance with the attached Principal Reduction Notice</w:t>
      </w:r>
    </w:p>
    <w:p>
      <w:pPr>
        <w:spacing w:after="0" w:line="161" w:lineRule="exact"/>
        <w:rPr>
          <w:rFonts w:ascii="MS PGothic" w:cs="MS PGothic" w:eastAsia="MS PGothic" w:hAnsi="MS PGothic"/>
          <w:sz w:val="18"/>
          <w:szCs w:val="18"/>
          <w:color w:val="auto"/>
        </w:rPr>
      </w:pPr>
    </w:p>
    <w:p>
      <w:pPr>
        <w:ind w:left="260" w:hanging="252"/>
        <w:spacing w:after="0"/>
        <w:tabs>
          <w:tab w:leader="none" w:pos="2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17830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291465</wp:posOffset>
            </wp:positionV>
            <wp:extent cx="17830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591820</wp:posOffset>
            </wp:positionV>
            <wp:extent cx="17830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REDUCTION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VERAXA BIOTECH HOLDING AG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shall take the form of a deduction and set-off, in the amount of $ ________, from the outstanding principal amount under the Senior Secured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2027 issued by the Company to the Holder on the Issuance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subscribe for shares.)</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FOR VALUE RECEIVED, the foregoing Warrant to subscribe for shares of Veraxa Biotech Holding AG, a public limited company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 and all rights evidenced thereby are hereby assigned 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17145</wp:posOffset>
            </wp:positionV>
            <wp:extent cx="2571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17145</wp:posOffset>
            </wp:positionV>
            <wp:extent cx="2571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17145</wp:posOffset>
            </wp:positionV>
            <wp:extent cx="2571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17145</wp:posOffset>
            </wp:positionV>
            <wp:extent cx="2571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17145</wp:posOffset>
            </wp:positionV>
            <wp:extent cx="2571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17145</wp:posOffset>
            </wp:positionV>
            <wp:extent cx="25717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17145</wp:posOffset>
            </wp:positionV>
            <wp:extent cx="2571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Assignee’s Signature: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u w:val="single" w:color="auto"/>
          <w:color w:val="auto"/>
        </w:rPr>
        <w:t>List of Subsidiaries of the Company</w:t>
      </w:r>
    </w:p>
    <w:p>
      <w:pPr>
        <w:spacing w:after="0" w:line="225" w:lineRule="exact"/>
        <w:rPr>
          <w:sz w:val="20"/>
          <w:szCs w:val="20"/>
          <w:color w:val="auto"/>
        </w:rPr>
      </w:pPr>
    </w:p>
    <w:p>
      <w:pPr>
        <w:ind w:left="328" w:hanging="328"/>
        <w:spacing w:after="0"/>
        <w:tabs>
          <w:tab w:leader="none" w:pos="32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 Biotech GmbH, validly existing under the laws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368935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3"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 Antz, certify that:</w:t>
      </w:r>
    </w:p>
    <w:p>
      <w:pPr>
        <w:spacing w:after="0" w:line="225" w:lineRule="exact"/>
        <w:rPr>
          <w:sz w:val="20"/>
          <w:szCs w:val="20"/>
          <w:color w:val="auto"/>
        </w:rPr>
      </w:pPr>
    </w:p>
    <w:p>
      <w:pPr>
        <w:ind w:left="340" w:hanging="332"/>
        <w:spacing w:after="0"/>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Shell Company Report on Form 20-F of Veraxa Biotech Holding AG;</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 and</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 Antz</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 Antz</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20" w:type="dxa"/>
            <w:vAlign w:val="bottom"/>
          </w:tcPr>
          <w:p>
            <w:pPr>
              <w:spacing w:after="0"/>
              <w:rPr>
                <w:sz w:val="20"/>
                <w:szCs w:val="20"/>
                <w:color w:val="auto"/>
              </w:rPr>
            </w:pPr>
          </w:p>
        </w:tc>
      </w:tr>
      <w:tr>
        <w:trPr>
          <w:trHeight w:val="560"/>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Torsten Buergermeister, certify that:</w:t>
      </w:r>
    </w:p>
    <w:p>
      <w:pPr>
        <w:spacing w:after="0" w:line="225" w:lineRule="exact"/>
        <w:rPr>
          <w:sz w:val="20"/>
          <w:szCs w:val="20"/>
          <w:color w:val="auto"/>
        </w:rPr>
      </w:pPr>
    </w:p>
    <w:p>
      <w:pPr>
        <w:ind w:left="340" w:hanging="332"/>
        <w:spacing w:after="0"/>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Shell Company Report on Form 20-F of Veraxa Biotech Holding AG;</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 and</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Torsten Buergermeister</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Torsten Buergermeister</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620" w:type="dxa"/>
            <w:vAlign w:val="bottom"/>
          </w:tcPr>
          <w:p>
            <w:pPr>
              <w:spacing w:after="0"/>
              <w:rPr>
                <w:sz w:val="20"/>
                <w:szCs w:val="20"/>
                <w:color w:val="auto"/>
              </w:rPr>
            </w:pPr>
          </w:p>
        </w:tc>
      </w:tr>
      <w:tr>
        <w:trPr>
          <w:trHeight w:val="560"/>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Shell Company Report on Form 20-F of Veraxa Biotech Holding AG (the “Company”) for the period covered by such report as filed with the Securities and Exchange Commission on the date hereof (the “Report”), I, Christoph Antz, Chief Executive Officer of the Company, certify, pursuant to 18 U.S.C.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June 16,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 Antz</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 Antz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certification accompanies the Report pursuant to 18 U.S.C. §1350 and shall not be deemed filed by the Company for purposes of Section 18 of the Securities Exchange Act of 1934, as amended (the “Exchange Act”), or otherwise subject to the liability of that section, and shall not be deemed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Shell Company Report on Form 20-F of Veraxa Biotech Holding AG (the “Company”) for the period covered by such report as filed with the Securities and Exchange Commission on the date hereof (the “Report”), I, Torsten Buergermeister, Chief Financial Officer of the Company, certify, pursuant to 18 U.S.C.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June 16,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Torsten Buergermeister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Torsten Buergermeister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certification accompanies the Report pursuant to 18 U.S.C. §1350 and shall not be deemed filed by the Company for purposes of Section 18 of the Securities Exchange Act of 1934, as amended (the “Exchange Act”), or otherwise subject to the liability of that section, and shall not be deemed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3" w:name="page214"/>
    <w:bookmarkEnd w:id="213"/>
    <w:p>
      <w:pPr>
        <w:ind w:left="10320"/>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Defined terms included below shall have the same meaning as terms defined and included elsewhere in this Current Report on Form 20-F (the “Form 20-F”) filed with the Securities and Exchange Commission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financial information of SPAC and the Company, adjusted to give effect to the Business Combination and related Transactions.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PubCo and Merger Sub were incorporated for the sole purpose of effectuating the Transactions. They do not meet the definition of a business. PubCo financials were not considered in the pro forma presentation as PubCo has no material transactions.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Therefore, the following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giving pro forma effect to the Business Combination as if it had occurred as of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profit or loss for the year ended December 31, 2025 includes the historical audited statement of profit or loss of the Company for the year ended December 31, 2025 and the historical audited statement of operations of SPAC for the year ended December 31, 2025 on a pro forma basis as if the Business Combination had occurred on January 1, 2025, the beginning of the earliest period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2025, has been derived from:</w:t>
      </w:r>
    </w:p>
    <w:p>
      <w:pPr>
        <w:spacing w:after="0" w:line="225" w:lineRule="exact"/>
        <w:rPr>
          <w:sz w:val="20"/>
          <w:szCs w:val="20"/>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SPAC as of December 31, 2025, and the related notes, which are incorporated by reference;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the Company as of December 31, 2025, and the related notes, which are included elsewhere in this Form 20-F.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profit or loss for the year ended December 31, 2025, has been derived from:</w:t>
      </w:r>
    </w:p>
    <w:p>
      <w:pPr>
        <w:spacing w:after="0" w:line="225" w:lineRule="exact"/>
        <w:rPr>
          <w:sz w:val="20"/>
          <w:szCs w:val="20"/>
          <w:color w:val="auto"/>
        </w:rPr>
      </w:pPr>
    </w:p>
    <w:p>
      <w:pPr>
        <w:ind w:left="660" w:hanging="328"/>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SPAC for the year ended December 31, 2025, and the related notes, which are incorporated by reference;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the Company for the year ended December 31, 2025, and the related notes which are included elsewhere in this Form 20-F.</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in effect on the date of this Form 20-F which incorporates Transaction Accounting Adjustments. The Company and SPAC have elected not to present any estimates related to potential synergies and other transaction effect that are reasonably expected to occur or have already occurred and will only be presenting Transaction Accounting Adjustments in unaudited pro forma condensed combined financial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information should be read together with the financial statements and related notes, as applicable, of each of the Company and SPAC incorporated by reference, the sections titled “</w:t>
      </w:r>
      <w:r>
        <w:rPr>
          <w:rFonts w:ascii="Times New Roman" w:cs="Times New Roman" w:eastAsia="Times New Roman" w:hAnsi="Times New Roman"/>
          <w:sz w:val="18"/>
          <w:szCs w:val="18"/>
          <w:i w:val="1"/>
          <w:iCs w:val="1"/>
          <w:color w:val="auto"/>
        </w:rPr>
        <w:t>Company Management’s Discussion and Analysis of Financial Condition and Results of Operations”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and other financial information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color w:val="auto"/>
        </w:rPr>
        <w:t>Description of 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2025, SPAC entered into the Business Combination Agreement with the Company and Oliver Baumann, an individual, solely in his capacity as representative for the Company Shareholders. SPAC, the Company and Mr. Baumann entered into an amendment to the Business Combination Agreement on October 18, 2025 and entered into a second amendment and waiver to the Business Combination Agreement on February 2, 2026. The Business Combination was closed on June 10, 2026.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Sponsor formed PubCo, and PubCo formed Merger Sub. The Business Combination Agreement provides for, among other things, the following transactions: (i) Sponsor transferred the PubCo Ordinary Shares to the Contribution Agent, (ii) SPAC merged with and into Merger Sub, with Merger Sub as the surviving company in the merger and, after giving effect to clause (iii), continuing as a wholly owned subsidiary of PubCo, (iii) the Contribution Agent contributed the Merger Sub Shares received in the Initial Merger on behalf of the SPAC shareholders to PubCo and an increase to capital contribution reserves, (iv) the Contribution Agent transferred the PubCo Ordinary Shares received by Sponsor to the SPAC Shareholders, (v) Merger Sub distributed its assets to PubCo as a liquidating distribution and Merger Sub was dissolved under the Laws of the Cayman Islands and ceased to be a wholly owned Subsidiary of PubCo, and (vi) the Company merged with and into PubCo, with PubCo as the surviving entity in the merger.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Business Combination Agreement, (i) each issued and outstanding ordinary share in the Company were cancelled and exchanged for the fraction of a PubCo Ordinary Share equal to the Exchange Ratio (as defined in the Business Combination Agreement); (ii) (x) each issued and outstanding SPAC Unit were automatically detached and the holder was deemed to hold one SPAC Class A Ordinary Share and one-half of a SPAC Warrant and (y) each issued and outstanding SPAC Class A Ordinary Share and SPAC Class B Ordinary Share were cancelled and exchanged for one PubCo Ordinary Share; and (iii) each issued and outstanding whole SPAC Warrant were converted into a whole warrant to purchase one PubCo Ordinary Share.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consideration described above, the Company Shareholders shall have the right to receive an aggregate of up to 5,000,000 PubCo Ordinary Shares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during each of the three fiscal years after the Closing Date. PubCo shall issue and the Company Shareholders shall have the right to receive their respective portions of the Earnout Shares in the event that:</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(as defined in the Business Combination Agreement) of the PubCo Ordinary Shares equals or exceeds $11.00 for 20 trading days during any 30 consecutive trading day period prior to December 31, 2026, then PubCo shall issue an aggregate of 1,667 PubCo Ordinary Shares (the “</w:t>
      </w:r>
      <w:r>
        <w:rPr>
          <w:rFonts w:ascii="Times New Roman" w:cs="Times New Roman" w:eastAsia="Times New Roman" w:hAnsi="Times New Roman"/>
          <w:sz w:val="18"/>
          <w:szCs w:val="18"/>
          <w:b w:val="1"/>
          <w:bCs w:val="1"/>
          <w:i w:val="1"/>
          <w:iCs w:val="1"/>
          <w:color w:val="auto"/>
        </w:rPr>
        <w:t>Initial VWAP Shares</w:t>
      </w:r>
      <w:r>
        <w:rPr>
          <w:rFonts w:ascii="Times New Roman" w:cs="Times New Roman" w:eastAsia="Times New Roman" w:hAnsi="Times New Roman"/>
          <w:sz w:val="18"/>
          <w:szCs w:val="18"/>
          <w:color w:val="auto"/>
        </w:rPr>
        <w:t>”) to the Company Shareholders;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$12.50 for 20 trading days during any 30 consecutive trading day period prior to December 31, 2027, then PubCo shall issue to the Company Shareholders (A) an aggregate of 1,667 PubCo Ordinary Shares (the “</w:t>
      </w:r>
      <w:r>
        <w:rPr>
          <w:rFonts w:ascii="Times New Roman" w:cs="Times New Roman" w:eastAsia="Times New Roman" w:hAnsi="Times New Roman"/>
          <w:sz w:val="18"/>
          <w:szCs w:val="18"/>
          <w:b w:val="1"/>
          <w:bCs w:val="1"/>
          <w:i w:val="1"/>
          <w:iCs w:val="1"/>
          <w:color w:val="auto"/>
        </w:rPr>
        <w:t>Second VWAP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(B) if the Initial VWAP Shares have not been issued pursuant to (i), the Initial VWAP Shares;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$14.00 for 20 trading days during any 30 consecutive trading day period prior to December 31, 2028, then PubCo shall issue to the Company Shareholders (A) an aggregate of 1,666 PubCo Ordinary Shares to the Company Shareholders, (b) if the Initial VWAP Shares have not been issued pursuant to (i) or (ii), the Initial VWAP Shares, and (c) if the Second VWAP Shares have not been issued pursuant to (ii), the Second VWAP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spacing w:after="0" w:line="176" w:lineRule="exact"/>
        <w:rPr>
          <w:sz w:val="20"/>
          <w:szCs w:val="20"/>
          <w:color w:val="auto"/>
        </w:rPr>
      </w:pPr>
    </w:p>
    <w:p>
      <w:pPr>
        <w:ind w:left="5580" w:right="1340" w:hanging="5248"/>
        <w:spacing w:after="0" w:line="657" w:lineRule="auto"/>
        <w:tabs>
          <w:tab w:leader="none" w:pos="65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shareholders hold a majority of the voting power of the combined company post Business Combination;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5" w:name="page216"/>
    <w:bookmarkEnd w:id="215"/>
    <w:p>
      <w:pPr>
        <w:ind w:left="660" w:hanging="328"/>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operations substantially comprise the ongoing operations of the combined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larger entity in terms of substantive operations and employee base;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senior management comprises the senior management of the combined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Another determining factor was that SPAC does not meet the definition of a “business” pursuant to IFRS 3, and thus, for accounting purposes, the Business Combination was accounted for as a capital reorganization, within the scope of International Financial Reporting Standards 2, Share-Based Payments, (“</w:t>
      </w:r>
      <w:r>
        <w:rPr>
          <w:rFonts w:ascii="Times New Roman" w:cs="Times New Roman" w:eastAsia="Times New Roman" w:hAnsi="Times New Roman"/>
          <w:sz w:val="18"/>
          <w:szCs w:val="18"/>
          <w:b w:val="1"/>
          <w:bCs w:val="1"/>
          <w:i w:val="1"/>
          <w:iCs w:val="1"/>
          <w:color w:val="auto"/>
        </w:rPr>
        <w:t>IFRS 2</w:t>
      </w:r>
      <w:r>
        <w:rPr>
          <w:rFonts w:ascii="Times New Roman" w:cs="Times New Roman" w:eastAsia="Times New Roman" w:hAnsi="Times New Roman"/>
          <w:sz w:val="18"/>
          <w:szCs w:val="18"/>
          <w:color w:val="auto"/>
        </w:rPr>
        <w:t>”).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sectPr>
          <w:pgSz w:w="11900" w:h="16838" w:orient="portrait"/>
          <w:cols w:equalWidth="0" w:num="1">
            <w:col w:w="11240"/>
          </w:cols>
          <w:pgMar w:left="320" w:top="769"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share ownership of PubCo following the consummation of the Business Combination: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Public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Shareholders</w:t>
      </w:r>
    </w:p>
    <w:p>
      <w:pPr>
        <w:spacing w:after="0" w:line="201" w:lineRule="auto"/>
        <w:rPr>
          <w:sz w:val="20"/>
          <w:szCs w:val="20"/>
          <w:color w:val="auto"/>
        </w:rPr>
      </w:pPr>
      <w:r>
        <w:rPr>
          <w:rFonts w:ascii="Times New Roman" w:cs="Times New Roman" w:eastAsia="Times New Roman" w:hAnsi="Times New Roman"/>
          <w:sz w:val="18"/>
          <w:szCs w:val="18"/>
          <w:color w:val="auto"/>
        </w:rPr>
        <w:t>PubCo Treasury Shares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7830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0" w:lineRule="exact"/>
        <w:rPr>
          <w:sz w:val="20"/>
          <w:szCs w:val="20"/>
          <w:color w:val="auto"/>
        </w:rPr>
      </w:pPr>
    </w:p>
    <w:p>
      <w:pPr>
        <w:ind w:left="340" w:hanging="332"/>
        <w:spacing w:after="0"/>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treasury shares are reserved for future issuance for the CF&amp;CO Fee Shares and Commitment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130,000,128</w:t>
            </w:r>
          </w:p>
        </w:tc>
        <w:tc>
          <w:tcPr>
            <w:tcW w:w="220" w:type="dxa"/>
            <w:vAlign w:val="bottom"/>
          </w:tcPr>
          <w:p>
            <w:pPr>
              <w:spacing w:after="0"/>
              <w:rPr>
                <w:sz w:val="16"/>
                <w:szCs w:val="16"/>
                <w:color w:val="auto"/>
              </w:rPr>
            </w:pPr>
          </w:p>
        </w:tc>
        <w:tc>
          <w:tcPr>
            <w:tcW w:w="130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94.9%</w:t>
            </w:r>
          </w:p>
        </w:tc>
      </w:tr>
      <w:tr>
        <w:trPr>
          <w:trHeight w:val="216"/>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82,685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6,100,000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775,000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136,957,813</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631" w:lineRule="exact"/>
        <w:rPr>
          <w:sz w:val="20"/>
          <w:szCs w:val="20"/>
          <w:color w:val="auto"/>
        </w:rPr>
      </w:pPr>
    </w:p>
    <w:p>
      <w:pPr>
        <w:sectPr>
          <w:pgSz w:w="11900" w:h="16838" w:orient="portrait"/>
          <w:cols w:equalWidth="0" w:num="2">
            <w:col w:w="8260" w:space="360"/>
            <w:col w:w="2620"/>
          </w:cols>
          <w:pgMar w:left="320" w:top="769" w:right="339" w:bottom="1440" w:gutter="0" w:footer="0" w:header="0"/>
          <w:type w:val="continuous"/>
        </w:sectPr>
      </w:pP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financial position as of December 31, 2025 and the unaudited pro forma condensed combined statement of profit or loss for the year ended December 31, 2025 are based on (i) the audited consolidated financial statements of the Company for the year ended December 31, 2025, and (ii) the audited financial statements of SPAC for the year ended December 31, 2025. The unaudited pro forma adjustments are based on information currently available, assumptions, and estimates underlying the pro forma adjustments and are described in the accompanying notes. Actual results may differ materially from the assumptions used to present the accompanying unaudited pro forma condensed combined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16" w:name="page217"/>
    <w:bookmarkEnd w:id="216"/>
    <w:p>
      <w:pPr>
        <w:spacing w:after="0" w:line="6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AS OF DECEMBER 31, 2025</w:t>
      </w:r>
      <w:r>
        <w:rPr>
          <w:rFonts w:ascii="Times New Roman" w:cs="Times New Roman" w:eastAsia="Times New Roman" w:hAnsi="Times New Roman"/>
          <w:sz w:val="29"/>
          <w:szCs w:val="29"/>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CHF and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IFRS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presentation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Veraxa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Voyager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alignment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(IFRS)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(US GAAP)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60" w:type="dxa"/>
            <w:vAlign w:val="bottom"/>
          </w:tcPr>
          <w:p>
            <w:pPr>
              <w:spacing w:after="0"/>
              <w:rPr>
                <w:sz w:val="20"/>
                <w:szCs w:val="20"/>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51,908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 long term</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3,223</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(216,426)</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213,913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(213,913)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 related party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(3,275)</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19,074</w:t>
            </w:r>
          </w:p>
        </w:tc>
        <w:tc>
          <w:tcPr>
            <w:tcW w:w="70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16,311</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214,066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(197,602)</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Voyager Class A ordinary shares subject to possible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213,913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(213,913)</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Voyager preference shares, $0.0001 par value;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1,000,000 shares authorized; none issued or</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Voyager Class A ordinary shares, $0.0001 par value;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200,000,000 shares authorized; none issued or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(excluding 25,300,000 shares subject to</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possible redemption)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88"/>
              </w:rPr>
              <w:t>J</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Voyager Class B ordinary shares, $0.0001 par value;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20,000,000 shares authorized; 6,325,000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88"/>
              </w:rPr>
              <w:t>J</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Veraxa subscribed 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(14,751)</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PubCo ordinary shares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1,148</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88"/>
              </w:rPr>
              <w:t>J</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3"/>
              </w:rPr>
              <w:t>M</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PubCo treasury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3"/>
              </w:rPr>
              <w:t>M</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be issued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5,549</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(187,738)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14,850</w:t>
            </w:r>
          </w:p>
        </w:tc>
        <w:tc>
          <w:tcPr>
            <w:tcW w:w="7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(89,260)</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1"/>
              </w:rPr>
              <w:t>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reserves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3,207</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154,644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(5,485)</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13,603</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(14,850)</w:t>
            </w:r>
          </w:p>
        </w:tc>
        <w:tc>
          <w:tcPr>
            <w:tcW w:w="7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70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7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88"/>
              </w:rPr>
              <w:t>J</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89,260</w:t>
            </w:r>
          </w:p>
        </w:tc>
        <w:tc>
          <w:tcPr>
            <w:tcW w:w="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(15,766)</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(10,421)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(4,169)</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3,722</w:t>
            </w:r>
          </w:p>
        </w:tc>
        <w:tc>
          <w:tcPr>
            <w:tcW w:w="18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(26,634)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Voyager Class A ordinary shares subject to possible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213,913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3,223</w:t>
            </w:r>
          </w:p>
        </w:tc>
        <w:tc>
          <w:tcPr>
            <w:tcW w:w="700" w:type="dxa"/>
            <w:vAlign w:val="bottom"/>
            <w:gridSpan w:val="2"/>
            <w:vMerge w:val="continue"/>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765" w:right="339" w:bottom="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(216,426)</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H</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(9,548)</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4,169</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491</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K</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14,441</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14,441</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 net</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18,583</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K</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18,583</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Contingent liabilities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2,899</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 commitments (SARs)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71,750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71,750</w:t>
            </w:r>
          </w:p>
        </w:tc>
        <w:tc>
          <w:tcPr>
            <w:tcW w:w="8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89,974</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218,082</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(204,387)</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113,217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2,857</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5,084</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deferred income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2,674</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3,070</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Due to Sponsor</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shd w:val="clear" w:color="auto" w:fill="CCEEFF"/>
          </w:tcPr>
          <w:p>
            <w:pPr>
              <w:spacing w:after="0"/>
              <w:rPr>
                <w:sz w:val="18"/>
                <w:szCs w:val="18"/>
                <w:color w:val="auto"/>
              </w:rPr>
            </w:pPr>
          </w:p>
        </w:tc>
      </w:tr>
      <w:tr>
        <w:trPr>
          <w:trHeight w:val="210"/>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6,612</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3,063</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96,586</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218,082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(201,324)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62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214,066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(197,602)</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61" w:lineRule="auto"/>
        <w:tabs>
          <w:tab w:leader="none" w:pos="340" w:val="left"/>
        </w:tabs>
        <w:numPr>
          <w:ilvl w:val="0"/>
          <w:numId w:val="2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PubCo was incorporated for the sole purpose of effectuating the Transactions. It does not meet the definition of a business. PubCo financials were not considered in the pro forma presentation as PubCo has no material transactions.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8" w:name="page219"/>
    <w:bookmarkEnd w:id="218"/>
    <w:p>
      <w:pPr>
        <w:ind w:left="19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PROFIT OR LOSS</w:t>
      </w:r>
    </w:p>
    <w:p>
      <w:pPr>
        <w:ind w:left="3640"/>
        <w:spacing w:after="0" w:line="208" w:lineRule="auto"/>
        <w:rPr>
          <w:sz w:val="20"/>
          <w:szCs w:val="20"/>
          <w:color w:val="auto"/>
        </w:rPr>
      </w:pPr>
      <w:r>
        <w:rPr>
          <w:rFonts w:ascii="Times New Roman" w:cs="Times New Roman" w:eastAsia="Times New Roman" w:hAnsi="Times New Roman"/>
          <w:sz w:val="18"/>
          <w:szCs w:val="18"/>
          <w:b w:val="1"/>
          <w:bCs w:val="1"/>
          <w:color w:val="auto"/>
        </w:rPr>
        <w:t>FOR THE YEAR ENDED DECEMBER 31, 2025</w:t>
      </w:r>
      <w:r>
        <w:rPr>
          <w:rFonts w:ascii="Times New Roman" w:cs="Times New Roman" w:eastAsia="Times New Roman" w:hAnsi="Times New Roman"/>
          <w:sz w:val="29"/>
          <w:szCs w:val="29"/>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CHF and 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Actual Redemptions</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IFRS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presentation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Veraxa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Voyager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alignment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(IFRS)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(US GAAP)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6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72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BB</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(137,416)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(89,260)</w:t>
            </w:r>
          </w:p>
        </w:tc>
        <w:tc>
          <w:tcPr>
            <w:tcW w:w="7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(10,264)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(89,011)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exchange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c>
          <w:tcPr>
            <w:tcW w:w="72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EE</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from investments held in Trust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AA</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(8,939)</w:t>
            </w:r>
          </w:p>
        </w:tc>
        <w:tc>
          <w:tcPr>
            <w:tcW w:w="720" w:type="dxa"/>
            <w:vAlign w:val="bottom"/>
            <w:gridSpan w:val="2"/>
            <w:vMerge w:val="continue"/>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(67,007)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(100,540)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(160,225)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Tax benefit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ordinary share, Class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redeemable ordinary shares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Class B ordinary shares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 Class B ordinary shares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 forma weighted average number of shares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0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outstanding - basic and diluted</w:t>
            </w:r>
            <w:r>
              <w:rPr>
                <w:rFonts w:ascii="Times New Roman" w:cs="Times New Roman" w:eastAsia="Times New Roman" w:hAnsi="Times New Roman"/>
                <w:sz w:val="29"/>
                <w:szCs w:val="29"/>
                <w:color w:val="auto"/>
                <w:vertAlign w:val="superscript"/>
              </w:rPr>
              <w:t>(2)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136,957,813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 basic and diluted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56" w:lineRule="auto"/>
        <w:tabs>
          <w:tab w:leader="none" w:pos="340" w:val="left"/>
        </w:tabs>
        <w:numPr>
          <w:ilvl w:val="0"/>
          <w:numId w:val="2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unaudited pro forma condensed combined statement of profit or loss for the year ended December 31, 2025 combines the historical audited statement of profit or loss of the Company for the year ended December 31, 2025 and the historical audited statement of operations of SPAC for the year ended December 31, 2025 PubCo was incorporated for the sole purpose of effectuating the Transactions. It does not meet the definition of a business. PubCo financials were not considered in the pro forma presentation as PubCo has no material transactions.</w:t>
      </w:r>
    </w:p>
    <w:p>
      <w:pPr>
        <w:spacing w:after="0" w:line="1"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refer to Note 6 — Net Loss per Share for details.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9" w:name="page220"/>
    <w:bookmarkEnd w:id="219"/>
    <w:p>
      <w:pPr>
        <w:ind w:left="17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SPAC will experience. The Company and SPAC have not had any historical relationship prior to the Business Combination. Accordingly, no pro forma adjustments were required to eliminate activities between the companies.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Transaction Accounting Adjustments and present the Management’s Adjustments. SPAC has elected not to present Management’s Adjustments and will only be presenting Transaction Accounting Adjustments in the following unaudited pro forma condensed combined financial information.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SPAC does not meet the definition of a “business” pursuant to International Financial Reporting Standards 3, Business Combinations (“</w:t>
      </w:r>
      <w:r>
        <w:rPr>
          <w:rFonts w:ascii="Times New Roman" w:cs="Times New Roman" w:eastAsia="Times New Roman" w:hAnsi="Times New Roman"/>
          <w:sz w:val="18"/>
          <w:szCs w:val="18"/>
          <w:b w:val="1"/>
          <w:bCs w:val="1"/>
          <w:i w:val="1"/>
          <w:iCs w:val="1"/>
          <w:color w:val="auto"/>
        </w:rPr>
        <w:t>IFRS 3</w:t>
      </w:r>
      <w:r>
        <w:rPr>
          <w:rFonts w:ascii="Times New Roman" w:cs="Times New Roman" w:eastAsia="Times New Roman" w:hAnsi="Times New Roman"/>
          <w:sz w:val="18"/>
          <w:szCs w:val="18"/>
          <w:color w:val="auto"/>
        </w:rPr>
        <w:t>”) as it is an empty listed shell holding only cash raised as part of its original equity issuance. As a result, the Business Combination does not qualify as a “business combination” within the meaning of IFRS 3; rather, the Business Combination was accounted for as a capital reorganization in accordance with IFRS 2. See Note 2 — Accounting for the Business Combination for more details.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PubCo and Merger Sub were incorporated for the sole purpose of effectuating the merger. They do not meet the definition of a business. PubCo financials were not considered in the pro forma presentation as PubCo has no material transactions.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financial statements of the Company have been prepared in accordance with IFRS as issued by the IASB and in its functional and presentation currency of the CHF (“</w:t>
      </w:r>
      <w:r>
        <w:rPr>
          <w:rFonts w:ascii="Times New Roman" w:cs="Times New Roman" w:eastAsia="Times New Roman" w:hAnsi="Times New Roman"/>
          <w:sz w:val="18"/>
          <w:szCs w:val="18"/>
          <w:b w:val="1"/>
          <w:bCs w:val="1"/>
          <w:i w:val="1"/>
          <w:iCs w:val="1"/>
          <w:color w:val="auto"/>
        </w:rPr>
        <w:t>CHF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historical financial statements of SPAC have been prepared in accordance with U.S. GAAP and in its functional and presentation currency of the United States dollar (“</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of SPAC have been translated into and are presented in CHF for the purposes of presentation in the unaudited pro forma condensed combined financial information using the following exchange rates:</w:t>
      </w:r>
    </w:p>
    <w:p>
      <w:pPr>
        <w:spacing w:after="0" w:line="162" w:lineRule="exact"/>
        <w:rPr>
          <w:sz w:val="20"/>
          <w:szCs w:val="20"/>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period end exchange rate as of December 31, 2025 of US $1.00 to CHF ₣0.792675 for the balance sheet;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year ended December 31, 2025, of US $1.00 to CHF ₣0.830495 for the statement of operations for the period ending on that date.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color w:val="auto"/>
        </w:rPr>
        <w:t>The following table sets out share ownership of PubCo following the consummation of the Business Combination: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Public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Shareholders</w:t>
      </w:r>
    </w:p>
    <w:p>
      <w:pPr>
        <w:spacing w:after="0" w:line="201" w:lineRule="auto"/>
        <w:rPr>
          <w:sz w:val="20"/>
          <w:szCs w:val="20"/>
          <w:color w:val="auto"/>
        </w:rPr>
      </w:pPr>
      <w:r>
        <w:rPr>
          <w:rFonts w:ascii="Times New Roman" w:cs="Times New Roman" w:eastAsia="Times New Roman" w:hAnsi="Times New Roman"/>
          <w:sz w:val="18"/>
          <w:szCs w:val="18"/>
          <w:color w:val="auto"/>
        </w:rPr>
        <w:t>PubCo Treasury Shares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7830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0" w:lineRule="exact"/>
        <w:rPr>
          <w:sz w:val="20"/>
          <w:szCs w:val="20"/>
          <w:color w:val="auto"/>
        </w:rPr>
      </w:pPr>
    </w:p>
    <w:p>
      <w:pPr>
        <w:ind w:left="340" w:hanging="332"/>
        <w:spacing w:after="0"/>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treasury shares are reserved for future issuance for the CF&amp;CO Fee Shares and Commitment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130,000,128</w:t>
      </w:r>
      <w:r>
        <w:rPr>
          <w:sz w:val="20"/>
          <w:szCs w:val="20"/>
          <w:color w:val="auto"/>
        </w:rPr>
        <w:tab/>
      </w:r>
      <w:r>
        <w:rPr>
          <w:rFonts w:ascii="Times New Roman" w:cs="Times New Roman" w:eastAsia="Times New Roman" w:hAnsi="Times New Roman"/>
          <w:sz w:val="18"/>
          <w:szCs w:val="18"/>
          <w:color w:val="auto"/>
        </w:rPr>
        <w:t>94.9%</w:t>
      </w:r>
    </w:p>
    <w:p>
      <w:pPr>
        <w:spacing w:after="0" w:line="23" w:lineRule="exact"/>
        <w:rPr>
          <w:sz w:val="20"/>
          <w:szCs w:val="20"/>
          <w:color w:val="auto"/>
        </w:rPr>
      </w:pPr>
    </w:p>
    <w:p>
      <w:pPr>
        <w:ind w:left="420"/>
        <w:spacing w:after="0"/>
        <w:tabs>
          <w:tab w:leader="none" w:pos="1980" w:val="left"/>
        </w:tabs>
        <w:rPr>
          <w:sz w:val="20"/>
          <w:szCs w:val="20"/>
          <w:color w:val="auto"/>
        </w:rPr>
      </w:pPr>
      <w:r>
        <w:rPr>
          <w:rFonts w:ascii="Times New Roman" w:cs="Times New Roman" w:eastAsia="Times New Roman" w:hAnsi="Times New Roman"/>
          <w:sz w:val="18"/>
          <w:szCs w:val="18"/>
          <w:color w:val="auto"/>
        </w:rPr>
        <w:t>82,685</w:t>
      </w:r>
      <w:r>
        <w:rPr>
          <w:sz w:val="20"/>
          <w:szCs w:val="20"/>
          <w:color w:val="auto"/>
        </w:rPr>
        <w:tab/>
      </w:r>
      <w:r>
        <w:rPr>
          <w:rFonts w:ascii="Times New Roman" w:cs="Times New Roman" w:eastAsia="Times New Roman" w:hAnsi="Times New Roman"/>
          <w:sz w:val="18"/>
          <w:szCs w:val="18"/>
          <w:color w:val="auto"/>
        </w:rPr>
        <w:t>0.1%</w:t>
      </w:r>
    </w:p>
    <w:p>
      <w:pPr>
        <w:spacing w:after="0" w:line="9" w:lineRule="exact"/>
        <w:rPr>
          <w:sz w:val="20"/>
          <w:szCs w:val="20"/>
          <w:color w:val="auto"/>
        </w:rPr>
      </w:pPr>
    </w:p>
    <w:p>
      <w:pPr>
        <w:ind w:left="180"/>
        <w:spacing w:after="0"/>
        <w:tabs>
          <w:tab w:leader="none" w:pos="1980" w:val="left"/>
        </w:tabs>
        <w:rPr>
          <w:sz w:val="20"/>
          <w:szCs w:val="20"/>
          <w:color w:val="auto"/>
        </w:rPr>
      </w:pPr>
      <w:r>
        <w:rPr>
          <w:rFonts w:ascii="Times New Roman" w:cs="Times New Roman" w:eastAsia="Times New Roman" w:hAnsi="Times New Roman"/>
          <w:sz w:val="18"/>
          <w:szCs w:val="18"/>
          <w:color w:val="auto"/>
        </w:rPr>
        <w:t>6,100,000</w:t>
      </w:r>
      <w:r>
        <w:rPr>
          <w:sz w:val="20"/>
          <w:szCs w:val="20"/>
          <w:color w:val="auto"/>
        </w:rPr>
        <w:tab/>
      </w:r>
      <w:r>
        <w:rPr>
          <w:rFonts w:ascii="Times New Roman" w:cs="Times New Roman" w:eastAsia="Times New Roman" w:hAnsi="Times New Roman"/>
          <w:sz w:val="18"/>
          <w:szCs w:val="18"/>
          <w:color w:val="auto"/>
        </w:rPr>
        <w:t>4.3%</w:t>
      </w:r>
    </w:p>
    <w:p>
      <w:pPr>
        <w:spacing w:after="0" w:line="31" w:lineRule="exact"/>
        <w:rPr>
          <w:sz w:val="20"/>
          <w:szCs w:val="20"/>
          <w:color w:val="auto"/>
        </w:rPr>
      </w:pPr>
    </w:p>
    <w:p>
      <w:pPr>
        <w:ind w:left="320"/>
        <w:spacing w:after="0"/>
        <w:tabs>
          <w:tab w:leader="none" w:pos="1980" w:val="left"/>
        </w:tabs>
        <w:rPr>
          <w:sz w:val="20"/>
          <w:szCs w:val="20"/>
          <w:color w:val="auto"/>
        </w:rPr>
      </w:pPr>
      <w:r>
        <w:rPr>
          <w:rFonts w:ascii="Times New Roman" w:cs="Times New Roman" w:eastAsia="Times New Roman" w:hAnsi="Times New Roman"/>
          <w:sz w:val="18"/>
          <w:szCs w:val="18"/>
          <w:color w:val="auto"/>
        </w:rPr>
        <w:t>775,000</w:t>
      </w:r>
      <w:r>
        <w:rPr>
          <w:sz w:val="20"/>
          <w:szCs w:val="20"/>
          <w:color w:val="auto"/>
        </w:rPr>
        <w:tab/>
      </w:r>
      <w:r>
        <w:rPr>
          <w:rFonts w:ascii="Times New Roman" w:cs="Times New Roman" w:eastAsia="Times New Roman" w:hAnsi="Times New Roman"/>
          <w:sz w:val="18"/>
          <w:szCs w:val="18"/>
          <w:color w:val="auto"/>
        </w:rPr>
        <w:t>0.6%</w:t>
      </w:r>
    </w:p>
    <w:p>
      <w:pPr>
        <w:spacing w:after="0" w:line="41"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136,957,813</w:t>
      </w:r>
      <w:r>
        <w:rPr>
          <w:sz w:val="20"/>
          <w:szCs w:val="20"/>
          <w:color w:val="auto"/>
        </w:rPr>
        <w:tab/>
      </w:r>
      <w:r>
        <w:rPr>
          <w:rFonts w:ascii="Times New Roman" w:cs="Times New Roman" w:eastAsia="Times New Roman" w:hAnsi="Times New Roman"/>
          <w:sz w:val="18"/>
          <w:szCs w:val="18"/>
          <w:b w:val="1"/>
          <w:bCs w:val="1"/>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40005</wp:posOffset>
            </wp:positionV>
            <wp:extent cx="15430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708" w:lineRule="exact"/>
        <w:rPr>
          <w:sz w:val="20"/>
          <w:szCs w:val="20"/>
          <w:color w:val="auto"/>
        </w:rPr>
      </w:pPr>
    </w:p>
    <w:p>
      <w:pPr>
        <w:sectPr>
          <w:pgSz w:w="11900" w:h="16838" w:orient="portrait"/>
          <w:cols w:equalWidth="0" w:num="2">
            <w:col w:w="8260" w:space="560"/>
            <w:col w:w="2420"/>
          </w:cols>
          <w:pgMar w:left="320" w:top="769" w:right="339" w:bottom="1440" w:gutter="0" w:footer="0" w:header="0"/>
        </w:sectPr>
      </w:pPr>
    </w:p>
    <w:p>
      <w:pPr>
        <w:spacing w:after="0" w:line="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adjustments do not have an income tax effect as they are either (i) incurred by legal entities that are not subject to a corporate income tax, or (ii) permanently non-deductible or non-taxable based on the laws of the relevant jurisdiction.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management performed a comprehensive review of the entity’s accounting policies. As a result of the review,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for the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spacing w:after="0" w:line="176" w:lineRule="exact"/>
        <w:rPr>
          <w:sz w:val="20"/>
          <w:szCs w:val="20"/>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shareholders hold a majority of the voting power of the combined company post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operations substantially comprise the ongoing operations of the combined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larger entity in terms of substantive operations and employee base;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senior management comprises the senior management of the combined company.</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Another determining factor was that SPAC does not meet the definition of a “business” pursuant to IFRS 3, and thus, for accounting purposes, the Business Combination was accounted for as a capital reorganization, within the scope of IFRS 2.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IFRS Conversion and Presentation Alignment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financial statements of the Company has been prepared in accordance with IFRS as issued by the IASB and in its functional and presentation currency of the CHF (“</w:t>
      </w:r>
      <w:r>
        <w:rPr>
          <w:rFonts w:ascii="Times New Roman" w:cs="Times New Roman" w:eastAsia="Times New Roman" w:hAnsi="Times New Roman"/>
          <w:sz w:val="18"/>
          <w:szCs w:val="18"/>
          <w:b w:val="1"/>
          <w:bCs w:val="1"/>
          <w:i w:val="1"/>
          <w:iCs w:val="1"/>
          <w:color w:val="auto"/>
        </w:rPr>
        <w:t>CHF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historical financial statements of SPAC have been prepared in accordance with U.S. GAAP and in its functional and presentation currency of the United States dollar (“</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21" w:name="page222"/>
    <w:bookmarkEnd w:id="221"/>
    <w:p>
      <w:pPr>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of SPAC have been translated into and are presented in CHF for the purposes of presentation in the unaudited pro forma condensed combined financial information using the following exchange rates:</w:t>
      </w:r>
    </w:p>
    <w:p>
      <w:pPr>
        <w:spacing w:after="0" w:line="162" w:lineRule="exact"/>
        <w:rPr>
          <w:sz w:val="20"/>
          <w:szCs w:val="20"/>
          <w:color w:val="auto"/>
        </w:rPr>
      </w:pPr>
    </w:p>
    <w:p>
      <w:pPr>
        <w:ind w:left="720" w:hanging="388"/>
        <w:spacing w:after="0"/>
        <w:tabs>
          <w:tab w:leader="none" w:pos="7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period end exchange rate as of December 31, 2025 of US $1.00 to CHF ₣0.792675 for the balance sheet;</w:t>
      </w:r>
    </w:p>
    <w:p>
      <w:pPr>
        <w:spacing w:after="0" w:line="225"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year ended December 31, 2025, of US $1.00 to CHF ₣0.830495 for the statement of operations for the period ending on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Adjustments to Unaudited Pro Forma Condensed Combined Statement of Financial Position as of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statement of financial position as of December 31, 2025 are as follows:</w:t>
      </w:r>
    </w:p>
    <w:p>
      <w:pPr>
        <w:spacing w:after="0" w:line="225" w:lineRule="exact"/>
        <w:rPr>
          <w:sz w:val="20"/>
          <w:szCs w:val="20"/>
          <w:color w:val="auto"/>
        </w:rPr>
      </w:pPr>
    </w:p>
    <w:p>
      <w:pPr>
        <w:ind w:left="720" w:hanging="388"/>
        <w:spacing w:after="0"/>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₣3.2 million of interest earned on the investments held in Trust Account subsequent to December 31, 2025.</w:t>
      </w:r>
    </w:p>
    <w:p>
      <w:pPr>
        <w:spacing w:after="0" w:line="225"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25,217,315 Voyager Class A ordinary shares at approximately ₣8.58 per share for an aggregate redemption payment of ₣216.4 million.</w:t>
      </w:r>
    </w:p>
    <w:p>
      <w:pPr>
        <w:spacing w:after="0" w:line="161"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₣0.7 million of funds held in the Trust Account to cash and bank balances that became available following the Business Combination.</w:t>
      </w:r>
    </w:p>
    <w:p>
      <w:pPr>
        <w:spacing w:after="0" w:line="161"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deferred underwriting commission by cash upon the Closing of the Business Combination. Pursuant to the Fee Modification Agreement entered on May 27, 2026, SPAC and Company agreed that the original deferred underwriting commission shall be settled in a combination of cash and PubCo Ordinary Shares as follows:</w:t>
      </w:r>
    </w:p>
    <w:p>
      <w:pPr>
        <w:spacing w:after="0" w:line="173" w:lineRule="exact"/>
        <w:rPr>
          <w:rFonts w:ascii="Times New Roman" w:cs="Times New Roman" w:eastAsia="Times New Roman" w:hAnsi="Times New Roman"/>
          <w:sz w:val="18"/>
          <w:szCs w:val="18"/>
          <w:color w:val="auto"/>
        </w:rPr>
      </w:pPr>
    </w:p>
    <w:p>
      <w:pPr>
        <w:ind w:left="1040" w:right="20" w:hanging="330"/>
        <w:spacing w:after="0" w:line="284" w:lineRule="auto"/>
        <w:tabs>
          <w:tab w:leader="none" w:pos="10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$500,000 shall be paid upon the consummation of the Business Combination and $500,000 payable on or prior to the once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Closing; plus</w:t>
      </w:r>
    </w:p>
    <w:p>
      <w:pPr>
        <w:spacing w:after="0" w:line="163" w:lineRule="exact"/>
        <w:rPr>
          <w:rFonts w:ascii="Times New Roman" w:cs="Times New Roman" w:eastAsia="Times New Roman" w:hAnsi="Times New Roman"/>
          <w:sz w:val="18"/>
          <w:szCs w:val="18"/>
          <w:color w:val="auto"/>
        </w:rPr>
      </w:pPr>
    </w:p>
    <w:p>
      <w:pPr>
        <w:ind w:left="1040" w:right="20" w:hanging="330"/>
        <w:spacing w:after="0" w:line="208" w:lineRule="auto"/>
        <w:tabs>
          <w:tab w:leader="none" w:pos="1040" w:val="left"/>
        </w:tabs>
        <w:numPr>
          <w:ilvl w:val="1"/>
          <w:numId w:val="2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 xml:space="preserve">PubCo Ordinary Shares: </w:t>
      </w:r>
      <w:r>
        <w:rPr>
          <w:rFonts w:ascii="Times New Roman" w:cs="Times New Roman" w:eastAsia="Times New Roman" w:hAnsi="Times New Roman"/>
          <w:sz w:val="18"/>
          <w:szCs w:val="18"/>
          <w:color w:val="auto"/>
        </w:rPr>
        <w:t>$2,300,000 in PubCo Ordinary Shares shall be issued to the underwriters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and $4,700,000 in PubCo Ordinary Shares shall be issued to the underwriters no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Closing.</w:t>
      </w:r>
    </w:p>
    <w:p>
      <w:pPr>
        <w:spacing w:after="0" w:line="77" w:lineRule="exact"/>
        <w:rPr>
          <w:rFonts w:ascii="Times New Roman" w:cs="Times New Roman" w:eastAsia="Times New Roman" w:hAnsi="Times New Roman"/>
          <w:sz w:val="36"/>
          <w:szCs w:val="36"/>
          <w:color w:val="auto"/>
          <w:vertAlign w:val="superscript"/>
        </w:rPr>
      </w:pPr>
    </w:p>
    <w:p>
      <w:pPr>
        <w:ind w:left="720" w:hanging="388"/>
        <w:spacing w:after="0" w:line="282" w:lineRule="auto"/>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by SPAC and the Company of ₣1.5 million and ₣6.7 million, respectively, for legal, accounting and printing fees incurred as part of the Business Combination.</w:t>
      </w:r>
    </w:p>
    <w:p>
      <w:pPr>
        <w:spacing w:after="0" w:line="161" w:lineRule="exact"/>
        <w:rPr>
          <w:rFonts w:ascii="Times New Roman" w:cs="Times New Roman" w:eastAsia="Times New Roman" w:hAnsi="Times New Roman"/>
          <w:sz w:val="18"/>
          <w:szCs w:val="18"/>
          <w:color w:val="auto"/>
        </w:rPr>
      </w:pPr>
    </w:p>
    <w:p>
      <w:pPr>
        <w:jc w:val="both"/>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SPAC Transaction Costs, ₣0.8 million of these fees have been accrued as of the pro forma statement of financial position date. ₣0.2 million of these fees are related to D&amp;O insurance and recorded as prepaid expenses. The remaining amount of ₣0.5 million is reflected as an adjustment to accumulated deficit.</w:t>
      </w:r>
    </w:p>
    <w:p>
      <w:pPr>
        <w:spacing w:after="0" w:line="175" w:lineRule="exact"/>
        <w:rPr>
          <w:rFonts w:ascii="Times New Roman" w:cs="Times New Roman" w:eastAsia="Times New Roman" w:hAnsi="Times New Roman"/>
          <w:sz w:val="18"/>
          <w:szCs w:val="18"/>
          <w:color w:val="auto"/>
        </w:rPr>
      </w:pPr>
    </w:p>
    <w:p>
      <w:pPr>
        <w:ind w:left="7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Company Transaction Costs, ₣1.2 million of these fees have been paid as of the pro forma statement of financial position date. The remaining amount of ₣5.5 million is included as an adjustment to capital reserves.</w:t>
      </w:r>
    </w:p>
    <w:p>
      <w:pPr>
        <w:spacing w:after="0" w:line="16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130,000,128 PubCo Ordinary Shares to the Company Shareholders at par value of ₣1/113.25 per share.</w:t>
      </w:r>
    </w:p>
    <w:p>
      <w:pPr>
        <w:spacing w:after="0" w:line="225"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SPAC’s historical accumulated losses after recording the transaction costs to be incurred by SPAC as described in</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above and the waiver of amounts due to related parties as described in (N) below.</w:t>
      </w:r>
    </w:p>
    <w:p>
      <w:pPr>
        <w:spacing w:after="0" w:line="206"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82,685 Voyager Class A ordinary shares subject to possible redemption to permanent equity.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2" w:name="page223"/>
    <w:bookmarkEnd w:id="222"/>
    <w:p>
      <w:pPr>
        <w:ind w:left="720" w:hanging="388"/>
        <w:spacing w:after="0"/>
        <w:tabs>
          <w:tab w:leader="none" w:pos="7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forfeiture of 225,000 SPAC Class B Ordinary Shares by Sponsor upon the Closing of the Business Combination.</w:t>
      </w:r>
    </w:p>
    <w:p>
      <w:pPr>
        <w:spacing w:after="0" w:line="225" w:lineRule="exact"/>
        <w:rPr>
          <w:rFonts w:ascii="Times New Roman" w:cs="Times New Roman" w:eastAsia="Times New Roman" w:hAnsi="Times New Roman"/>
          <w:sz w:val="18"/>
          <w:szCs w:val="18"/>
          <w:color w:val="auto"/>
        </w:rPr>
      </w:pPr>
    </w:p>
    <w:p>
      <w:pPr>
        <w:ind w:left="720" w:right="20" w:hanging="388"/>
        <w:spacing w:after="0" w:line="282" w:lineRule="auto"/>
        <w:tabs>
          <w:tab w:leader="none" w:pos="7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exchange of 82,685 SPAC Class A Ordinary Shares and 6,100,000 SPAC Class B Ordinary Shares into the same number of PubCo Ordinary Shares with a par value of ₣1/113.25.</w:t>
      </w:r>
    </w:p>
    <w:p>
      <w:pPr>
        <w:spacing w:after="0" w:line="161"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27, 2026, the Company signed a Securities Purchase Agreement with certain investors pursuant to which the Company will issue a Senior Secured Note to such investors with a principal amount of ₣21.8 million (or $27.5 million), which will be issued at a discount of 87.5%, resulting in net cash proceeds of approximately ₣19.1 million (or $24.1 million).</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expense recognized, in accordance with IFRS 2, for the excess of the deemed costs of the shares issued by PubCo and the fair value of SPAC’s identifiable net assets at the date of the Business Combination, resulting in a ₣89.3 million increase to accumulated loss. The fair value of shares issued was based on a market price of ₣13.57 per share (as of June 10,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Actual Redemptions</w:t>
            </w:r>
          </w:p>
        </w:tc>
      </w:tr>
      <w:tr>
        <w:trPr>
          <w:trHeight w:val="210"/>
        </w:trPr>
        <w:tc>
          <w:tcPr>
            <w:tcW w:w="8700" w:type="dxa"/>
            <w:vAlign w:val="bottom"/>
          </w:tcPr>
          <w:p>
            <w:pPr>
              <w:spacing w:after="0"/>
              <w:rPr>
                <w:sz w:val="18"/>
                <w:szCs w:val="18"/>
                <w:color w:val="auto"/>
              </w:rPr>
            </w:pPr>
          </w:p>
        </w:tc>
        <w:tc>
          <w:tcPr>
            <w:tcW w:w="14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000s)</w:t>
            </w:r>
          </w:p>
        </w:tc>
        <w:tc>
          <w:tcPr>
            <w:tcW w:w="100" w:type="dxa"/>
            <w:vAlign w:val="bottom"/>
          </w:tcPr>
          <w:p>
            <w:pPr>
              <w:spacing w:after="0"/>
              <w:rPr>
                <w:sz w:val="18"/>
                <w:szCs w:val="18"/>
                <w:color w:val="auto"/>
              </w:rPr>
            </w:pPr>
          </w:p>
        </w:tc>
      </w:tr>
      <w:tr>
        <w:trPr>
          <w:trHeight w:val="209"/>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SPAC shareholders of Class A Ordinary Shares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SPAC shareholders of Class B Ordinary Shares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6,100,000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7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6,182,685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Deemed costs of shares to be issued to SPAC shareholders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83,877</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of SPAC as of December 31, 2025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(10,421)</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Less: SPAC warrant liabilities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(4,169)</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SPAC transaction costs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Add: Waiver of amounts due to related parties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Settlement of deferred underwriting commission</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8,756</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Add: Reclassification of shares subject to redemption to 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assets of SPAC as of December 31, 2025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(5,383)</w:t>
            </w: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Difference – being IFRS 2 charge for listing services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89,260</w:t>
            </w:r>
          </w:p>
        </w:tc>
      </w:tr>
    </w:tbl>
    <w:p>
      <w:pPr>
        <w:spacing w:after="0" w:line="175" w:lineRule="exact"/>
        <w:rPr>
          <w:sz w:val="20"/>
          <w:szCs w:val="20"/>
          <w:color w:val="auto"/>
        </w:rPr>
      </w:pPr>
    </w:p>
    <w:p>
      <w:pPr>
        <w:ind w:left="720" w:hanging="388"/>
        <w:spacing w:after="0"/>
        <w:tabs>
          <w:tab w:leader="none" w:pos="7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775,000 reserved for future issuance for the CF&amp;CO Fee Shares and Commitment Shares held by PubCo as treasury shares.</w:t>
      </w:r>
    </w:p>
    <w:p>
      <w:pPr>
        <w:spacing w:after="0" w:line="225"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waiver of amounts due to related parties upon the Closing.</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 5 — Adjustments and Reclassifications to Unaudited Pro Forma Condensed Combined Statement Of Profit or Loss for the Year Ended December 31, 2025</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profit or loss for the year ended December 31, 2025 are as follows:</w:t>
      </w:r>
    </w:p>
    <w:p>
      <w:pPr>
        <w:spacing w:after="0" w:line="162" w:lineRule="exact"/>
        <w:rPr>
          <w:sz w:val="20"/>
          <w:szCs w:val="20"/>
          <w:color w:val="auto"/>
        </w:rPr>
      </w:pPr>
    </w:p>
    <w:p>
      <w:pPr>
        <w:ind w:left="720" w:hanging="388"/>
        <w:spacing w:after="0"/>
        <w:tabs>
          <w:tab w:leader="none" w:pos="7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elimination of interest income generated from the investments held in Trust Account.</w:t>
      </w:r>
    </w:p>
    <w:p>
      <w:pPr>
        <w:spacing w:after="0" w:line="225"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elimination of administrative service compensation and CEO compensation that will be ceased paying upon closing of the Business Combination.</w:t>
      </w:r>
    </w:p>
    <w:p>
      <w:pPr>
        <w:spacing w:after="0" w:line="161"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preliminary estimated expense recognized, in accordance with IFRS 2, for the excess of the deemed costs of shares issued by PubCo over the fair value of SPAC’s identifiable net assets at the date of the Business Combination.</w:t>
      </w:r>
    </w:p>
    <w:p>
      <w:pPr>
        <w:spacing w:after="0" w:line="161"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change in fair value of the Financing Warrants issued with the Senior Secured Note after giving effect to the Business Combination as if it had occurred on January 1, 2025.</w:t>
      </w:r>
    </w:p>
    <w:p>
      <w:pPr>
        <w:spacing w:after="0" w:line="161"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amortization of the debt discount of the Senior Secured Note after giving effect to the Business Combination as if it had occurred on January 1,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t>Note 6 —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Represents the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 presented, the calculation of weighted average shares outstanding for basic and diluted loss per share assumes that the shares issued in connection with the Business Combination have been outstanding for the entire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9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130,000,128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82,685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Shareholders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6,100,000</w:t>
            </w:r>
          </w:p>
        </w:tc>
      </w:tr>
      <w:tr>
        <w:trPr>
          <w:trHeight w:val="256"/>
        </w:trPr>
        <w:tc>
          <w:tcPr>
            <w:tcW w:w="10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PubCo Treasury Shares</w:t>
            </w:r>
            <w:r>
              <w:rPr>
                <w:rFonts w:ascii="Times New Roman" w:cs="Times New Roman" w:eastAsia="Times New Roman" w:hAnsi="Times New Roman"/>
                <w:sz w:val="29"/>
                <w:szCs w:val="29"/>
                <w:color w:val="auto"/>
                <w:vertAlign w:val="superscript"/>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775,000</w:t>
            </w:r>
          </w:p>
        </w:tc>
      </w:tr>
      <w:tr>
        <w:trPr>
          <w:trHeight w:val="21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136,957,813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3180" w:hanging="5532"/>
        <w:spacing w:after="0" w:line="497" w:lineRule="auto"/>
        <w:tabs>
          <w:tab w:leader="none" w:pos="338" w:val="left"/>
        </w:tabs>
        <w:numPr>
          <w:ilvl w:val="0"/>
          <w:numId w:val="2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treasury shares are reserved for future issuance for the CF&amp;CO Fee Shares and Commitment Shares.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Form 20-F of our report dated March 10, 2026, which includes an explanatory paragraph relating to Voyager Acquisition Corp.’s ability to continue as a going concern, relating to the financial statements of Voyager Acquisition Corp as of December 31, 2025 and 2024, and for the years then ended. We also consent to the reference to us under the caption “Statement by Experts”.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in this Shell Company Report on Form 20-F of our report dated June 16, 2026 relating to the consolidated financial statements of Veraxa Biotech AG for the years ended December 31, 2025 and 2024. We also consent to the reference to our firm under the heading “Statement by Experts” appearing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in this Shell Company Report on Form 20-F of our report dated June 16, 2026 relating to the financial statements of Veraxa Biotech Holding AG for the period from June 25, 2025 (inception) through December 31, 2025. We also consent to the reference to our firm under the heading “Statement by Experts” appearing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
      <w:numFmt w:val="bullet"/>
      <w:start w:val="1"/>
    </w:lvl>
    <w:lvl w:ilvl="1">
      <w:lvlJc w:val="left"/>
      <w:lvlText w:val="☐"/>
      <w:numFmt w:val="bullet"/>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
      <w:numFmt w:val="bullet"/>
      <w:start w:val="1"/>
    </w:lvl>
  </w:abstractNum>
  <w:abstractNum w:abstractNumId="5">
    <w:nsid w:val="53584BCB"/>
    <w:multiLevelType w:val="hybridMultilevel"/>
    <w:lvl w:ilvl="0">
      <w:lvlJc w:val="left"/>
      <w:lvlText w:val="●"/>
      <w:numFmt w:val="bullet"/>
      <w:start w:val="1"/>
    </w:lvl>
  </w:abstractNum>
  <w:abstractNum w:abstractNumId="6">
    <w:nsid w:val="415E286C"/>
    <w:multiLevelType w:val="hybridMultilevel"/>
    <w:lvl w:ilvl="0">
      <w:lvlJc w:val="left"/>
      <w:lvlText w:val="●"/>
      <w:numFmt w:val="bullet"/>
      <w:start w:val="1"/>
    </w:lvl>
  </w:abstractNum>
  <w:abstractNum w:abstractNumId="7">
    <w:nsid w:val="7C58FD05"/>
    <w:multiLevelType w:val="hybridMultilevel"/>
    <w:lvl w:ilvl="0">
      <w:lvlJc w:val="left"/>
      <w:lvlText w:val="(%1)"/>
      <w:numFmt w:val="lowerRoman"/>
      <w:start w:val="4"/>
    </w:lvl>
  </w:abstractNum>
  <w:abstractNum w:abstractNumId="8">
    <w:nsid w:val="23D86AAC"/>
    <w:multiLevelType w:val="hybridMultilevel"/>
    <w:lvl w:ilvl="0">
      <w:lvlJc w:val="left"/>
      <w:lvlText w:val="%1."/>
      <w:numFmt w:val="upperLetter"/>
      <w:start w:val="1"/>
    </w:lvl>
  </w:abstractNum>
  <w:abstractNum w:abstractNumId="9">
    <w:nsid w:val="45E6D486"/>
    <w:multiLevelType w:val="hybridMultilevel"/>
    <w:lvl w:ilvl="0">
      <w:lvlJc w:val="left"/>
      <w:lvlText w:val="%1."/>
      <w:numFmt w:val="upperLetter"/>
      <w:start w:val="2"/>
    </w:lvl>
  </w:abstractNum>
  <w:abstractNum w:abstractNumId="10">
    <w:nsid w:val="5C10FE21"/>
    <w:multiLevelType w:val="hybridMultilevel"/>
    <w:lvl w:ilvl="0">
      <w:lvlJc w:val="left"/>
      <w:lvlText w:val="%1."/>
      <w:numFmt w:val="upperLetter"/>
      <w:start w:val="3"/>
    </w:lvl>
  </w:abstractNum>
  <w:abstractNum w:abstractNumId="11">
    <w:nsid w:val="E7FFA2B"/>
    <w:multiLevelType w:val="hybridMultilevel"/>
    <w:lvl w:ilvl="0">
      <w:lvlJc w:val="left"/>
      <w:lvlText w:val="%1."/>
      <w:numFmt w:val="upperLetter"/>
      <w:start w:val="1"/>
    </w:lvl>
  </w:abstractNum>
  <w:abstractNum w:abstractNumId="12">
    <w:nsid w:val="3C5991AA"/>
    <w:multiLevelType w:val="hybridMultilevel"/>
    <w:lvl w:ilvl="0">
      <w:lvlJc w:val="left"/>
      <w:lvlText w:val="%1."/>
      <w:numFmt w:val="upperLetter"/>
      <w:start w:val="2"/>
    </w:lvl>
  </w:abstractNum>
  <w:abstractNum w:abstractNumId="13">
    <w:nsid w:val="4BD8591A"/>
    <w:multiLevelType w:val="hybridMultilevel"/>
    <w:lvl w:ilvl="0">
      <w:lvlJc w:val="left"/>
      <w:lvlText w:val="%1."/>
      <w:numFmt w:val="upperLetter"/>
      <w:start w:val="3"/>
    </w:lvl>
  </w:abstractNum>
  <w:abstractNum w:abstractNumId="14">
    <w:nsid w:val="78DF6A55"/>
    <w:multiLevelType w:val="hybridMultilevel"/>
    <w:lvl w:ilvl="0">
      <w:lvlJc w:val="left"/>
      <w:lvlText w:val="%1."/>
      <w:numFmt w:val="upperLetter"/>
      <w:start w:val="1"/>
    </w:lvl>
  </w:abstractNum>
  <w:abstractNum w:abstractNumId="15">
    <w:nsid w:val="39B7AAA2"/>
    <w:multiLevelType w:val="hybridMultilevel"/>
    <w:lvl w:ilvl="0">
      <w:lvlJc w:val="left"/>
      <w:lvlText w:val="%1."/>
      <w:numFmt w:val="upperLetter"/>
      <w:start w:val="2"/>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
      <w:numFmt w:val="bullet"/>
      <w:start w:val="1"/>
    </w:lvl>
  </w:abstractNum>
  <w:abstractNum w:abstractNumId="18">
    <w:nsid w:val="379E21B5"/>
    <w:multiLevelType w:val="hybridMultilevel"/>
    <w:lvl w:ilvl="0">
      <w:lvlJc w:val="left"/>
      <w:lvlText w:val="*"/>
      <w:numFmt w:val="bullet"/>
      <w:start w:val="1"/>
    </w:lvl>
  </w:abstractNum>
  <w:abstractNum w:abstractNumId="19">
    <w:nsid w:val="69E373"/>
    <w:multiLevelType w:val="hybridMultilevel"/>
    <w:lvl w:ilvl="0">
      <w:lvlJc w:val="left"/>
      <w:lvlText w:val="*"/>
      <w:numFmt w:val="bullet"/>
      <w:start w:val="1"/>
    </w:lvl>
  </w:abstractNum>
  <w:abstractNum w:abstractNumId="20">
    <w:nsid w:val="2C27173B"/>
    <w:multiLevelType w:val="hybridMultilevel"/>
    <w:lvl w:ilvl="0">
      <w:lvlJc w:val="left"/>
      <w:lvlText w:val="*"/>
      <w:numFmt w:val="bullet"/>
      <w:start w:val="1"/>
    </w:lvl>
  </w:abstractNum>
  <w:abstractNum w:abstractNumId="21">
    <w:nsid w:val="4C9B0904"/>
    <w:multiLevelType w:val="hybridMultilevel"/>
    <w:lvl w:ilvl="0">
      <w:lvlJc w:val="left"/>
      <w:lvlText w:val="*"/>
      <w:numFmt w:val="bullet"/>
      <w:start w:val="1"/>
    </w:lvl>
  </w:abstractNum>
  <w:abstractNum w:abstractNumId="22">
    <w:nsid w:val="6AA7B75C"/>
    <w:multiLevelType w:val="hybridMultilevel"/>
    <w:lvl w:ilvl="0">
      <w:lvlJc w:val="left"/>
      <w:lvlText w:val="*"/>
      <w:numFmt w:val="bullet"/>
      <w:start w:val="1"/>
    </w:lvl>
  </w:abstractNum>
  <w:abstractNum w:abstractNumId="23">
    <w:nsid w:val="1DF029D3"/>
    <w:multiLevelType w:val="hybridMultilevel"/>
    <w:lvl w:ilvl="0">
      <w:lvlJc w:val="left"/>
      <w:lvlText w:val="(%1)"/>
      <w:numFmt w:val="lowerLetter"/>
      <w:start w:val="3"/>
    </w:lvl>
    <w:lvl w:ilvl="1">
      <w:lvlJc w:val="left"/>
      <w:lvlText w:val="%2."/>
      <w:numFmt w:val="decimal"/>
      <w:start w:val="1"/>
    </w:lvl>
  </w:abstractNum>
  <w:abstractNum w:abstractNumId="24">
    <w:nsid w:val="5675FF36"/>
    <w:multiLevelType w:val="hybridMultilevel"/>
    <w:lvl w:ilvl="0">
      <w:lvlJc w:val="left"/>
      <w:lvlText w:val="%1."/>
      <w:numFmt w:val="upperLetter"/>
      <w:start w:val="3"/>
    </w:lvl>
  </w:abstractNum>
  <w:abstractNum w:abstractNumId="25">
    <w:nsid w:val="3DD15094"/>
    <w:multiLevelType w:val="hybridMultilevel"/>
    <w:lvl w:ilvl="0">
      <w:lvlJc w:val="left"/>
      <w:lvlText w:val="%1."/>
      <w:numFmt w:val="upperLetter"/>
      <w:start w:val="4"/>
    </w:lvl>
  </w:abstractNum>
  <w:abstractNum w:abstractNumId="26">
    <w:nsid w:val="3DB012B3"/>
    <w:multiLevelType w:val="hybridMultilevel"/>
    <w:lvl w:ilvl="0">
      <w:lvlJc w:val="left"/>
      <w:lvlText w:val="●"/>
      <w:numFmt w:val="bullet"/>
      <w:start w:val="1"/>
    </w:lvl>
  </w:abstractNum>
  <w:abstractNum w:abstractNumId="27">
    <w:nsid w:val="2708C9AF"/>
    <w:multiLevelType w:val="hybridMultilevel"/>
    <w:lvl w:ilvl="0">
      <w:lvlJc w:val="left"/>
      <w:lvlText w:val="●"/>
      <w:numFmt w:val="bullet"/>
      <w:start w:val="1"/>
    </w:lvl>
  </w:abstractNum>
  <w:abstractNum w:abstractNumId="28">
    <w:nsid w:val="5B25ACE2"/>
    <w:multiLevelType w:val="hybridMultilevel"/>
    <w:lvl w:ilvl="0">
      <w:lvlJc w:val="left"/>
      <w:lvlText w:val="%1."/>
      <w:numFmt w:val="upperLetter"/>
      <w:start w:val="1"/>
    </w:lvl>
  </w:abstractNum>
  <w:abstractNum w:abstractNumId="29">
    <w:nsid w:val="175DFCF0"/>
    <w:multiLevelType w:val="hybridMultilevel"/>
    <w:lvl w:ilvl="0">
      <w:lvlJc w:val="left"/>
      <w:lvlText w:val="%1."/>
      <w:numFmt w:val="upperLetter"/>
      <w:start w:val="2"/>
    </w:lvl>
  </w:abstractNum>
  <w:abstractNum w:abstractNumId="30">
    <w:nsid w:val="4F97E3E4"/>
    <w:multiLevelType w:val="hybridMultilevel"/>
    <w:lvl w:ilvl="0">
      <w:lvlJc w:val="left"/>
      <w:lvlText w:val="%1."/>
      <w:numFmt w:val="upperLetter"/>
      <w:start w:val="3"/>
    </w:lvl>
  </w:abstractNum>
  <w:abstractNum w:abstractNumId="31">
    <w:nsid w:val="53B0A9E"/>
    <w:multiLevelType w:val="hybridMultilevel"/>
    <w:lvl w:ilvl="0">
      <w:lvlJc w:val="left"/>
      <w:lvlText w:val="%1."/>
      <w:numFmt w:val="upperLetter"/>
      <w:start w:val="4"/>
    </w:lvl>
  </w:abstractNum>
  <w:abstractNum w:abstractNumId="32">
    <w:nsid w:val="34FD6B4F"/>
    <w:multiLevelType w:val="hybridMultilevel"/>
    <w:lvl w:ilvl="0">
      <w:lvlJc w:val="left"/>
      <w:lvlText w:val="●"/>
      <w:numFmt w:val="bullet"/>
      <w:start w:val="1"/>
    </w:lvl>
  </w:abstractNum>
  <w:abstractNum w:abstractNumId="33">
    <w:nsid w:val="5915FF32"/>
    <w:multiLevelType w:val="hybridMultilevel"/>
    <w:lvl w:ilvl="0">
      <w:lvlJc w:val="left"/>
      <w:lvlText w:val="●"/>
      <w:numFmt w:val="bullet"/>
      <w:start w:val="1"/>
    </w:lvl>
  </w:abstractNum>
  <w:abstractNum w:abstractNumId="34">
    <w:nsid w:val="56438D15"/>
    <w:multiLevelType w:val="hybridMultilevel"/>
    <w:lvl w:ilvl="0">
      <w:lvlJc w:val="left"/>
      <w:lvlText w:val="●"/>
      <w:numFmt w:val="bullet"/>
      <w:start w:val="1"/>
    </w:lvl>
  </w:abstractNum>
  <w:abstractNum w:abstractNumId="35">
    <w:nsid w:val="519E3149"/>
    <w:multiLevelType w:val="hybridMultilevel"/>
    <w:lvl w:ilvl="0">
      <w:lvlJc w:val="left"/>
      <w:lvlText w:val="%1."/>
      <w:numFmt w:val="upperLetter"/>
      <w:start w:val="4"/>
    </w:lvl>
    <w:lvl w:ilvl="1">
      <w:lvlJc w:val="left"/>
      <w:lvlText w:val="●"/>
      <w:numFmt w:val="bullet"/>
      <w:start w:val="1"/>
    </w:lvl>
  </w:abstractNum>
  <w:abstractNum w:abstractNumId="36">
    <w:nsid w:val="2C6E4AFD"/>
    <w:multiLevelType w:val="hybridMultilevel"/>
    <w:lvl w:ilvl="0">
      <w:lvlJc w:val="left"/>
      <w:lvlText w:val="%1."/>
      <w:numFmt w:val="upperLetter"/>
      <w:start w:val="6"/>
    </w:lvl>
  </w:abstractNum>
  <w:abstractNum w:abstractNumId="37">
    <w:nsid w:val="17A1B582"/>
    <w:multiLevelType w:val="hybridMultilevel"/>
    <w:lvl w:ilvl="0">
      <w:lvlJc w:val="left"/>
      <w:lvlText w:val="%1."/>
      <w:numFmt w:val="upperLetter"/>
      <w:start w:val="1"/>
    </w:lvl>
  </w:abstractNum>
  <w:abstractNum w:abstractNumId="38">
    <w:nsid w:val="4DF72E4E"/>
    <w:multiLevelType w:val="hybridMultilevel"/>
    <w:lvl w:ilvl="0">
      <w:lvlJc w:val="left"/>
      <w:lvlText w:val="●"/>
      <w:numFmt w:val="bullet"/>
      <w:start w:val="1"/>
    </w:lvl>
  </w:abstractNum>
  <w:abstractNum w:abstractNumId="39">
    <w:nsid w:val="5046B5A9"/>
    <w:multiLevelType w:val="hybridMultilevel"/>
    <w:lvl w:ilvl="0">
      <w:lvlJc w:val="left"/>
      <w:lvlText w:val="*"/>
      <w:numFmt w:val="bullet"/>
      <w:start w:val="1"/>
    </w:lvl>
  </w:abstractNum>
  <w:abstractNum w:abstractNumId="40">
    <w:nsid w:val="5D888A08"/>
    <w:multiLevelType w:val="hybridMultilevel"/>
    <w:lvl w:ilvl="0">
      <w:lvlJc w:val="left"/>
      <w:lvlText w:val="%1."/>
      <w:numFmt w:val="upperLetter"/>
      <w:start w:val="2"/>
    </w:lvl>
  </w:abstractNum>
  <w:abstractNum w:abstractNumId="41">
    <w:nsid w:val="2A082C70"/>
    <w:multiLevelType w:val="hybridMultilevel"/>
    <w:lvl w:ilvl="0">
      <w:lvlJc w:val="left"/>
      <w:lvlText w:val="%1."/>
      <w:numFmt w:val="upperLetter"/>
      <w:start w:val="3"/>
    </w:lvl>
  </w:abstractNum>
  <w:abstractNum w:abstractNumId="42">
    <w:nsid w:val="5EC6AFD4"/>
    <w:multiLevelType w:val="hybridMultilevel"/>
    <w:lvl w:ilvl="0">
      <w:lvlJc w:val="left"/>
      <w:lvlText w:val="%1."/>
      <w:numFmt w:val="upperLetter"/>
      <w:start w:val="1"/>
    </w:lvl>
  </w:abstractNum>
  <w:abstractNum w:abstractNumId="43">
    <w:nsid w:val="19E21BB2"/>
    <w:multiLevelType w:val="hybridMultilevel"/>
    <w:lvl w:ilvl="0">
      <w:lvlJc w:val="left"/>
      <w:lvlText w:val="%1."/>
      <w:numFmt w:val="upperLetter"/>
      <w:start w:val="2"/>
    </w:lvl>
  </w:abstractNum>
  <w:abstractNum w:abstractNumId="44">
    <w:nsid w:val="75E0858A"/>
    <w:multiLevelType w:val="hybridMultilevel"/>
    <w:lvl w:ilvl="0">
      <w:lvlJc w:val="left"/>
      <w:lvlText w:val="%1."/>
      <w:numFmt w:val="upperLetter"/>
      <w:start w:val="1"/>
    </w:lvl>
  </w:abstractNum>
  <w:abstractNum w:abstractNumId="45">
    <w:nsid w:val="57A61A29"/>
    <w:multiLevelType w:val="hybridMultilevel"/>
    <w:lvl w:ilvl="0">
      <w:lvlJc w:val="left"/>
      <w:lvlText w:val="%1."/>
      <w:numFmt w:val="upperLetter"/>
      <w:start w:val="2"/>
    </w:lvl>
  </w:abstractNum>
  <w:abstractNum w:abstractNumId="46">
    <w:nsid w:val="5399C654"/>
    <w:multiLevelType w:val="hybridMultilevel"/>
    <w:lvl w:ilvl="0">
      <w:lvlJc w:val="left"/>
      <w:lvlText w:val="%1."/>
      <w:numFmt w:val="upperLetter"/>
      <w:start w:val="4"/>
    </w:lvl>
  </w:abstractNum>
  <w:abstractNum w:abstractNumId="47">
    <w:nsid w:val="20EE1348"/>
    <w:multiLevelType w:val="hybridMultilevel"/>
    <w:lvl w:ilvl="0">
      <w:lvlJc w:val="left"/>
      <w:lvlText w:val="%1."/>
      <w:numFmt w:val="upperLetter"/>
      <w:start w:val="5"/>
    </w:lvl>
  </w:abstractNum>
  <w:abstractNum w:abstractNumId="48">
    <w:nsid w:val="4427069A"/>
    <w:multiLevelType w:val="hybridMultilevel"/>
    <w:lvl w:ilvl="0">
      <w:lvlJc w:val="left"/>
      <w:lvlText w:val="%1."/>
      <w:numFmt w:val="upperLetter"/>
      <w:start w:val="1"/>
    </w:lvl>
  </w:abstractNum>
  <w:abstractNum w:abstractNumId="49">
    <w:nsid w:val="B37E80A"/>
    <w:multiLevelType w:val="hybridMultilevel"/>
    <w:lvl w:ilvl="0">
      <w:lvlJc w:val="left"/>
      <w:lvlText w:val="%1."/>
      <w:numFmt w:val="upperLetter"/>
      <w:start w:val="2"/>
    </w:lvl>
  </w:abstractNum>
  <w:abstractNum w:abstractNumId="50">
    <w:nsid w:val="2157F6BC"/>
    <w:multiLevelType w:val="hybridMultilevel"/>
    <w:lvl w:ilvl="0">
      <w:lvlJc w:val="left"/>
      <w:lvlText w:val="%1."/>
      <w:numFmt w:val="upperLetter"/>
      <w:start w:val="3"/>
    </w:lvl>
  </w:abstractNum>
  <w:abstractNum w:abstractNumId="51">
    <w:nsid w:val="704E1DD5"/>
    <w:multiLevelType w:val="hybridMultilevel"/>
    <w:lvl w:ilvl="0">
      <w:lvlJc w:val="left"/>
      <w:lvlText w:val="%1."/>
      <w:numFmt w:val="upperLetter"/>
      <w:start w:val="4"/>
    </w:lvl>
  </w:abstractNum>
  <w:abstractNum w:abstractNumId="52">
    <w:nsid w:val="57D2F10E"/>
    <w:multiLevelType w:val="hybridMultilevel"/>
    <w:lvl w:ilvl="0">
      <w:lvlJc w:val="left"/>
      <w:lvlText w:val="%1."/>
      <w:numFmt w:val="upperLetter"/>
      <w:start w:val="6"/>
    </w:lvl>
  </w:abstractNum>
  <w:abstractNum w:abstractNumId="53">
    <w:nsid w:val="BFFAE18"/>
    <w:multiLevelType w:val="hybridMultilevel"/>
    <w:lvl w:ilvl="0">
      <w:lvlJc w:val="left"/>
      <w:lvlText w:val="%1."/>
      <w:numFmt w:val="upperLetter"/>
      <w:start w:val="7"/>
    </w:lvl>
  </w:abstractNum>
  <w:abstractNum w:abstractNumId="54">
    <w:nsid w:val="E3E47A8"/>
    <w:multiLevelType w:val="hybridMultilevel"/>
    <w:lvl w:ilvl="0">
      <w:lvlJc w:val="left"/>
      <w:lvlText w:val="%1."/>
      <w:numFmt w:val="upperLetter"/>
      <w:start w:val="8"/>
    </w:lvl>
  </w:abstractNum>
  <w:abstractNum w:abstractNumId="55">
    <w:nsid w:val="2E48F044"/>
    <w:multiLevelType w:val="hybridMultilevel"/>
    <w:lvl w:ilvl="0">
      <w:lvlJc w:val="left"/>
      <w:lvlText w:val="%1."/>
      <w:numFmt w:val="upperLetter"/>
      <w:start w:val="9"/>
    </w:lvl>
  </w:abstractNum>
  <w:abstractNum w:abstractNumId="56">
    <w:nsid w:val="49D0FEAC"/>
    <w:multiLevelType w:val="hybridMultilevel"/>
    <w:lvl w:ilvl="0">
      <w:lvlJc w:val="left"/>
      <w:lvlText w:val="₣"/>
      <w:numFmt w:val="bullet"/>
      <w:start w:val="1"/>
    </w:lvl>
  </w:abstractNum>
  <w:abstractNum w:abstractNumId="57">
    <w:nsid w:val="4BEE5A5B"/>
    <w:multiLevelType w:val="hybridMultilevel"/>
    <w:lvl w:ilvl="0">
      <w:lvlJc w:val="left"/>
      <w:lvlText w:val="₣"/>
      <w:numFmt w:val="bullet"/>
      <w:start w:val="1"/>
    </w:lvl>
  </w:abstractNum>
  <w:abstractNum w:abstractNumId="58">
    <w:nsid w:val="5551B9F3"/>
    <w:multiLevelType w:val="hybridMultilevel"/>
    <w:lvl w:ilvl="0">
      <w:lvlJc w:val="left"/>
      <w:lvlText w:val="●"/>
      <w:numFmt w:val="bullet"/>
      <w:start w:val="1"/>
    </w:lvl>
  </w:abstractNum>
  <w:abstractNum w:abstractNumId="59">
    <w:nsid w:val="24F6AB8E"/>
    <w:multiLevelType w:val="hybridMultilevel"/>
    <w:lvl w:ilvl="0">
      <w:lvlJc w:val="left"/>
      <w:lvlText w:val="●"/>
      <w:numFmt w:val="bullet"/>
      <w:start w:val="1"/>
    </w:lvl>
  </w:abstractNum>
  <w:abstractNum w:abstractNumId="60">
    <w:nsid w:val="634C574C"/>
    <w:multiLevelType w:val="hybridMultilevel"/>
    <w:lvl w:ilvl="0">
      <w:lvlJc w:val="left"/>
      <w:lvlText w:val="●"/>
      <w:numFmt w:val="bullet"/>
      <w:start w:val="1"/>
    </w:lvl>
  </w:abstractNum>
  <w:abstractNum w:abstractNumId="61">
    <w:nsid w:val="24E99DD7"/>
    <w:multiLevelType w:val="hybridMultilevel"/>
    <w:lvl w:ilvl="0">
      <w:lvlJc w:val="left"/>
      <w:lvlText w:val="%1."/>
      <w:numFmt w:val="decimal"/>
      <w:start w:val="2"/>
    </w:lvl>
  </w:abstractNum>
  <w:abstractNum w:abstractNumId="62">
    <w:nsid w:val="2A31B62D"/>
    <w:multiLevelType w:val="hybridMultilevel"/>
    <w:lvl w:ilvl="0">
      <w:lvlJc w:val="left"/>
      <w:lvlText w:val="●"/>
      <w:numFmt w:val="bullet"/>
      <w:start w:val="1"/>
    </w:lvl>
  </w:abstractNum>
  <w:abstractNum w:abstractNumId="63">
    <w:nsid w:val="1849C29B"/>
    <w:multiLevelType w:val="hybridMultilevel"/>
    <w:lvl w:ilvl="0">
      <w:lvlJc w:val="left"/>
      <w:lvlText w:val="●"/>
      <w:numFmt w:val="bullet"/>
      <w:start w:val="1"/>
    </w:lvl>
  </w:abstractNum>
  <w:abstractNum w:abstractNumId="64">
    <w:nsid w:val="7DFF9D09"/>
    <w:multiLevelType w:val="hybridMultilevel"/>
    <w:lvl w:ilvl="0">
      <w:lvlJc w:val="left"/>
      <w:lvlText w:val="●"/>
      <w:numFmt w:val="bullet"/>
      <w:start w:val="1"/>
    </w:lvl>
  </w:abstractNum>
  <w:abstractNum w:abstractNumId="65">
    <w:nsid w:val="754342"/>
    <w:multiLevelType w:val="hybridMultilevel"/>
    <w:lvl w:ilvl="0">
      <w:lvlJc w:val="left"/>
      <w:lvlText w:val="●"/>
      <w:numFmt w:val="bullet"/>
      <w:start w:val="1"/>
    </w:lvl>
  </w:abstractNum>
  <w:abstractNum w:abstractNumId="66">
    <w:nsid w:val="69E7F3E5"/>
    <w:multiLevelType w:val="hybridMultilevel"/>
    <w:lvl w:ilvl="0">
      <w:lvlJc w:val="left"/>
      <w:lvlText w:val="●"/>
      <w:numFmt w:val="bullet"/>
      <w:start w:val="1"/>
    </w:lvl>
  </w:abstractNum>
  <w:abstractNum w:abstractNumId="67">
    <w:nsid w:val="2A6DE806"/>
    <w:multiLevelType w:val="hybridMultilevel"/>
    <w:lvl w:ilvl="0">
      <w:lvlJc w:val="left"/>
      <w:lvlText w:val="●"/>
      <w:numFmt w:val="bullet"/>
      <w:start w:val="1"/>
    </w:lvl>
  </w:abstractNum>
  <w:abstractNum w:abstractNumId="68">
    <w:nsid w:val="1816F8C4"/>
    <w:multiLevelType w:val="hybridMultilevel"/>
    <w:lvl w:ilvl="0">
      <w:lvlJc w:val="left"/>
      <w:lvlText w:val="%1."/>
      <w:numFmt w:val="decimal"/>
      <w:start w:val="11"/>
    </w:lvl>
  </w:abstractNum>
  <w:abstractNum w:abstractNumId="69">
    <w:nsid w:val="37DF2233"/>
    <w:multiLevelType w:val="hybridMultilevel"/>
    <w:lvl w:ilvl="0">
      <w:lvlJc w:val="left"/>
      <w:lvlText w:val="%1"/>
      <w:numFmt w:val="decimal"/>
      <w:start w:val="104"/>
    </w:lvl>
  </w:abstractNum>
  <w:abstractNum w:abstractNumId="70">
    <w:nsid w:val="7AB49DAF"/>
    <w:multiLevelType w:val="hybridMultilevel"/>
    <w:lvl w:ilvl="0">
      <w:lvlJc w:val="left"/>
      <w:lvlText w:val="*"/>
      <w:numFmt w:val="bullet"/>
      <w:start w:val="1"/>
    </w:lvl>
  </w:abstractNum>
  <w:abstractNum w:abstractNumId="71">
    <w:nsid w:val="759F82CD"/>
    <w:multiLevelType w:val="hybridMultilevel"/>
    <w:lvl w:ilvl="0">
      <w:lvlJc w:val="left"/>
      <w:lvlText w:val="%1."/>
      <w:numFmt w:val="upperLetter"/>
      <w:start w:val="9"/>
    </w:lvl>
  </w:abstractNum>
  <w:abstractNum w:abstractNumId="72">
    <w:nsid w:val="61E74EA3"/>
    <w:multiLevelType w:val="hybridMultilevel"/>
    <w:lvl w:ilvl="0">
      <w:lvlJc w:val="left"/>
      <w:lvlText w:val="%1."/>
      <w:numFmt w:val="upperLetter"/>
      <w:start w:val="9"/>
    </w:lvl>
  </w:abstractNum>
  <w:abstractNum w:abstractNumId="73">
    <w:nsid w:val="597B4D84"/>
    <w:multiLevelType w:val="hybridMultilevel"/>
    <w:lvl w:ilvl="0">
      <w:lvlJc w:val="left"/>
      <w:lvlText w:val="%1."/>
      <w:numFmt w:val="upperLetter"/>
      <w:start w:val="35"/>
    </w:lvl>
  </w:abstractNum>
  <w:abstractNum w:abstractNumId="74">
    <w:nsid w:val="F819E7F"/>
    <w:multiLevelType w:val="hybridMultilevel"/>
    <w:lvl w:ilvl="0">
      <w:lvlJc w:val="left"/>
      <w:lvlText w:val="%1."/>
      <w:numFmt w:val="upperLetter"/>
      <w:start w:val="35"/>
    </w:lvl>
  </w:abstractNum>
  <w:abstractNum w:abstractNumId="75">
    <w:nsid w:val="57C7D42D"/>
    <w:multiLevelType w:val="hybridMultilevel"/>
    <w:lvl w:ilvl="0">
      <w:lvlJc w:val="left"/>
      <w:lvlText w:val="%1"/>
      <w:numFmt w:val="upperLetter"/>
      <w:start w:val="1"/>
    </w:lvl>
    <w:lvl w:ilvl="1">
      <w:lvlJc w:val="left"/>
      <w:lvlText w:val="%2."/>
      <w:numFmt w:val="upperLetter"/>
      <w:start w:val="3"/>
    </w:lvl>
  </w:abstractNum>
  <w:abstractNum w:abstractNumId="76">
    <w:nsid w:val="312167AD"/>
    <w:multiLevelType w:val="hybridMultilevel"/>
    <w:lvl w:ilvl="0">
      <w:lvlJc w:val="left"/>
      <w:lvlText w:val="%1."/>
      <w:numFmt w:val="decimal"/>
      <w:start w:val="1"/>
    </w:lvl>
  </w:abstractNum>
  <w:abstractNum w:abstractNumId="77">
    <w:nsid w:val="631B64D4"/>
    <w:multiLevelType w:val="hybridMultilevel"/>
    <w:lvl w:ilvl="0">
      <w:lvlJc w:val="left"/>
      <w:lvlText w:val="%1"/>
      <w:numFmt w:val="upperLetter"/>
      <w:start w:val="1"/>
    </w:lvl>
    <w:lvl w:ilvl="1">
      <w:lvlJc w:val="left"/>
      <w:lvlText w:val="%2."/>
      <w:numFmt w:val="upperLetter"/>
      <w:start w:val="3"/>
    </w:lvl>
  </w:abstractNum>
  <w:abstractNum w:abstractNumId="78">
    <w:nsid w:val="78B5E776"/>
    <w:multiLevelType w:val="hybridMultilevel"/>
    <w:lvl w:ilvl="0">
      <w:lvlJc w:val="left"/>
      <w:lvlText w:val="%1."/>
      <w:numFmt w:val="decimal"/>
      <w:start w:val="1"/>
    </w:lvl>
  </w:abstractNum>
  <w:abstractNum w:abstractNumId="79">
    <w:nsid w:val="75486E47"/>
    <w:multiLevelType w:val="hybridMultilevel"/>
    <w:lvl w:ilvl="0">
      <w:lvlJc w:val="left"/>
      <w:lvlText w:val="%1."/>
      <w:numFmt w:val="decimal"/>
      <w:start w:val="2"/>
    </w:lvl>
  </w:abstractNum>
  <w:abstractNum w:abstractNumId="80">
    <w:nsid w:val="6E534CDE"/>
    <w:multiLevelType w:val="hybridMultilevel"/>
    <w:lvl w:ilvl="0">
      <w:lvlJc w:val="left"/>
      <w:lvlText w:val="%1."/>
      <w:numFmt w:val="decimal"/>
      <w:start w:val="2"/>
    </w:lvl>
  </w:abstractNum>
  <w:abstractNum w:abstractNumId="81">
    <w:nsid w:val="1A0DDE32"/>
    <w:multiLevelType w:val="hybridMultilevel"/>
    <w:lvl w:ilvl="0">
      <w:lvlJc w:val="left"/>
      <w:lvlText w:val="%1."/>
      <w:numFmt w:val="decimal"/>
      <w:start w:val="1"/>
    </w:lvl>
  </w:abstractNum>
  <w:abstractNum w:abstractNumId="82">
    <w:nsid w:val="65968C1C"/>
    <w:multiLevelType w:val="hybridMultilevel"/>
    <w:lvl w:ilvl="0">
      <w:lvlJc w:val="left"/>
      <w:lvlText w:val="%1."/>
      <w:numFmt w:val="decimal"/>
      <w:start w:val="1"/>
    </w:lvl>
  </w:abstractNum>
  <w:abstractNum w:abstractNumId="83">
    <w:nsid w:val="46263DEC"/>
    <w:multiLevelType w:val="hybridMultilevel"/>
    <w:lvl w:ilvl="0">
      <w:lvlJc w:val="left"/>
      <w:lvlText w:val="%1."/>
      <w:numFmt w:val="decimal"/>
      <w:start w:val="1"/>
    </w:lvl>
  </w:abstractNum>
  <w:abstractNum w:abstractNumId="84">
    <w:nsid w:val="260D8C4A"/>
    <w:multiLevelType w:val="hybridMultilevel"/>
    <w:lvl w:ilvl="0">
      <w:lvlJc w:val="left"/>
      <w:lvlText w:val="%1."/>
      <w:numFmt w:val="decimal"/>
      <w:start w:val="1"/>
    </w:lvl>
  </w:abstractNum>
  <w:abstractNum w:abstractNumId="85">
    <w:nsid w:val="73D4D3C4"/>
    <w:multiLevelType w:val="hybridMultilevel"/>
    <w:lvl w:ilvl="0">
      <w:lvlJc w:val="left"/>
      <w:lvlText w:val="%1."/>
      <w:numFmt w:val="decimal"/>
      <w:start w:val="1"/>
    </w:lvl>
  </w:abstractNum>
  <w:abstractNum w:abstractNumId="86">
    <w:nsid w:val="746F2E30"/>
    <w:multiLevelType w:val="hybridMultilevel"/>
    <w:lvl w:ilvl="0">
      <w:lvlJc w:val="left"/>
      <w:lvlText w:val="%1."/>
      <w:numFmt w:val="decimal"/>
      <w:start w:val="1"/>
    </w:lvl>
  </w:abstractNum>
  <w:abstractNum w:abstractNumId="87">
    <w:nsid w:val="6FDE8AF6"/>
    <w:multiLevelType w:val="hybridMultilevel"/>
    <w:lvl w:ilvl="0">
      <w:lvlJc w:val="left"/>
      <w:lvlText w:val="%1."/>
      <w:numFmt w:val="decimal"/>
      <w:start w:val="3"/>
    </w:lvl>
  </w:abstractNum>
  <w:abstractNum w:abstractNumId="88">
    <w:nsid w:val="3FC32E20"/>
    <w:multiLevelType w:val="hybridMultilevel"/>
    <w:lvl w:ilvl="0">
      <w:lvlJc w:val="left"/>
      <w:lvlText w:val="%1."/>
      <w:numFmt w:val="decimal"/>
      <w:start w:val="3"/>
    </w:lvl>
  </w:abstractNum>
  <w:abstractNum w:abstractNumId="89">
    <w:nsid w:val="49C0E823"/>
    <w:multiLevelType w:val="hybridMultilevel"/>
    <w:lvl w:ilvl="0">
      <w:lvlJc w:val="left"/>
      <w:lvlText w:val="%1."/>
      <w:numFmt w:val="upperLetter"/>
      <w:start w:val="2"/>
    </w:lvl>
  </w:abstractNum>
  <w:abstractNum w:abstractNumId="90">
    <w:nsid w:val="14D53685"/>
    <w:multiLevelType w:val="hybridMultilevel"/>
    <w:lvl w:ilvl="0">
      <w:lvlJc w:val="left"/>
      <w:lvlText w:val="%1."/>
      <w:numFmt w:val="upperLetter"/>
      <w:start w:val="2"/>
    </w:lvl>
  </w:abstractNum>
  <w:abstractNum w:abstractNumId="91">
    <w:nsid w:val="230F856C"/>
    <w:multiLevelType w:val="hybridMultilevel"/>
    <w:lvl w:ilvl="0">
      <w:lvlJc w:val="left"/>
      <w:lvlText w:val="%1."/>
      <w:numFmt w:val="decimal"/>
      <w:start w:val="1"/>
    </w:lvl>
  </w:abstractNum>
  <w:abstractNum w:abstractNumId="92">
    <w:nsid w:val="6EAA85FB"/>
    <w:multiLevelType w:val="hybridMultilevel"/>
    <w:lvl w:ilvl="0">
      <w:lvlJc w:val="left"/>
      <w:lvlText w:val="%1."/>
      <w:numFmt w:val="decimal"/>
      <w:start w:val="1"/>
    </w:lvl>
  </w:abstractNum>
  <w:abstractNum w:abstractNumId="93">
    <w:nsid w:val="3F06ECB2"/>
    <w:multiLevelType w:val="hybridMultilevel"/>
    <w:lvl w:ilvl="0">
      <w:lvlJc w:val="left"/>
      <w:lvlText w:val="%1."/>
      <w:numFmt w:val="upperLetter"/>
      <w:start w:val="3"/>
    </w:lvl>
  </w:abstractNum>
  <w:abstractNum w:abstractNumId="94">
    <w:nsid w:val="3B594807"/>
    <w:multiLevelType w:val="hybridMultilevel"/>
    <w:lvl w:ilvl="0">
      <w:lvlJc w:val="left"/>
      <w:lvlText w:val="%1."/>
      <w:numFmt w:val="upperLetter"/>
      <w:start w:val="3"/>
    </w:lvl>
  </w:abstractNum>
  <w:abstractNum w:abstractNumId="95">
    <w:nsid w:val="6CAA2304"/>
    <w:multiLevelType w:val="hybridMultilevel"/>
    <w:lvl w:ilvl="0">
      <w:lvlJc w:val="left"/>
      <w:lvlText w:val="%1."/>
      <w:numFmt w:val="decimal"/>
      <w:start w:val="1"/>
    </w:lvl>
  </w:abstractNum>
  <w:abstractNum w:abstractNumId="96">
    <w:nsid w:val="3F7C2FF4"/>
    <w:multiLevelType w:val="hybridMultilevel"/>
    <w:lvl w:ilvl="0">
      <w:lvlJc w:val="left"/>
      <w:lvlText w:val="%1."/>
      <w:numFmt w:val="decimal"/>
      <w:start w:val="1"/>
    </w:lvl>
  </w:abstractNum>
  <w:abstractNum w:abstractNumId="97">
    <w:nsid w:val="25413BEC"/>
    <w:multiLevelType w:val="hybridMultilevel"/>
    <w:lvl w:ilvl="0">
      <w:lvlJc w:val="left"/>
      <w:lvlText w:val="%1."/>
      <w:numFmt w:val="upperLetter"/>
      <w:start w:val="22"/>
    </w:lvl>
  </w:abstractNum>
  <w:abstractNum w:abstractNumId="98">
    <w:nsid w:val="17180B0B"/>
    <w:multiLevelType w:val="hybridMultilevel"/>
    <w:lvl w:ilvl="0">
      <w:lvlJc w:val="left"/>
      <w:lvlText w:val="%1."/>
      <w:numFmt w:val="decimal"/>
      <w:start w:val="1"/>
    </w:lvl>
  </w:abstractNum>
  <w:abstractNum w:abstractNumId="99">
    <w:nsid w:val="579328B9"/>
    <w:multiLevelType w:val="hybridMultilevel"/>
    <w:lvl w:ilvl="0">
      <w:lvlJc w:val="left"/>
      <w:lvlText w:val="%1."/>
      <w:numFmt w:val="upperLetter"/>
      <w:start w:val="22"/>
    </w:lvl>
  </w:abstractNum>
  <w:abstractNum w:abstractNumId="100">
    <w:nsid w:val="5D205E20"/>
    <w:multiLevelType w:val="hybridMultilevel"/>
    <w:lvl w:ilvl="0">
      <w:lvlJc w:val="left"/>
      <w:lvlText w:val="%1."/>
      <w:numFmt w:val="decimal"/>
      <w:start w:val="1"/>
    </w:lvl>
  </w:abstractNum>
  <w:abstractNum w:abstractNumId="101">
    <w:nsid w:val="11CCA8BA"/>
    <w:multiLevelType w:val="hybridMultilevel"/>
    <w:lvl w:ilvl="0">
      <w:lvlJc w:val="left"/>
      <w:lvlText w:val="(%1)"/>
      <w:numFmt w:val="lowerRoman"/>
      <w:start w:val="1"/>
    </w:lvl>
  </w:abstractNum>
  <w:abstractNum w:abstractNumId="102">
    <w:nsid w:val="4D32AB86"/>
    <w:multiLevelType w:val="hybridMultilevel"/>
    <w:lvl w:ilvl="0">
      <w:lvlJc w:val="left"/>
      <w:lvlText w:val="(%1)"/>
      <w:numFmt w:val="upperLetter"/>
      <w:start w:val="2"/>
    </w:lvl>
  </w:abstractNum>
  <w:abstractNum w:abstractNumId="103">
    <w:nsid w:val="3F07ACC3"/>
    <w:multiLevelType w:val="hybridMultilevel"/>
    <w:lvl w:ilvl="0">
      <w:lvlJc w:val="left"/>
      <w:lvlText w:val="●"/>
      <w:numFmt w:val="bullet"/>
      <w:start w:val="1"/>
    </w:lvl>
  </w:abstractNum>
  <w:abstractNum w:abstractNumId="104">
    <w:nsid w:val="6B47F63E"/>
    <w:multiLevelType w:val="hybridMultilevel"/>
    <w:lvl w:ilvl="0">
      <w:lvlJc w:val="left"/>
      <w:lvlText w:val="●"/>
      <w:numFmt w:val="bullet"/>
      <w:start w:val="1"/>
    </w:lvl>
  </w:abstractNum>
  <w:abstractNum w:abstractNumId="105">
    <w:nsid w:val="5CB44A05"/>
    <w:multiLevelType w:val="hybridMultilevel"/>
    <w:lvl w:ilvl="0">
      <w:lvlJc w:val="left"/>
      <w:lvlText w:val="●"/>
      <w:numFmt w:val="bullet"/>
      <w:start w:val="1"/>
    </w:lvl>
  </w:abstractNum>
  <w:abstractNum w:abstractNumId="106">
    <w:nsid w:val="16CF80F1"/>
    <w:multiLevelType w:val="hybridMultilevel"/>
    <w:lvl w:ilvl="0">
      <w:lvlJc w:val="left"/>
      <w:lvlText w:val="(%1)"/>
      <w:numFmt w:val="lowerRoman"/>
      <w:start w:val="10"/>
    </w:lvl>
  </w:abstractNum>
  <w:abstractNum w:abstractNumId="107">
    <w:nsid w:val="1C695DEC"/>
    <w:multiLevelType w:val="hybridMultilevel"/>
    <w:lvl w:ilvl="0">
      <w:lvlJc w:val="left"/>
      <w:lvlText w:val="(%1)"/>
      <w:numFmt w:val="upperLetter"/>
      <w:start w:val="6"/>
    </w:lvl>
  </w:abstractNum>
  <w:abstractNum w:abstractNumId="108">
    <w:nsid w:val="3FCFAED9"/>
    <w:multiLevelType w:val="hybridMultilevel"/>
    <w:lvl w:ilvl="0">
      <w:lvlJc w:val="left"/>
      <w:lvlText w:val="●"/>
      <w:numFmt w:val="bullet"/>
      <w:start w:val="1"/>
    </w:lvl>
  </w:abstractNum>
  <w:abstractNum w:abstractNumId="109">
    <w:nsid w:val="F856867"/>
    <w:multiLevelType w:val="hybridMultilevel"/>
    <w:lvl w:ilvl="0">
      <w:lvlJc w:val="left"/>
      <w:lvlText w:val="%1"/>
      <w:numFmt w:val="upperLetter"/>
      <w:start w:val="1"/>
    </w:lvl>
    <w:lvl w:ilvl="1">
      <w:lvlJc w:val="left"/>
      <w:lvlText w:val="%2."/>
      <w:numFmt w:val="lowerRoman"/>
      <w:start w:val="1"/>
    </w:lvl>
  </w:abstractNum>
  <w:abstractNum w:abstractNumId="110">
    <w:nsid w:val="11B1CC33"/>
    <w:multiLevelType w:val="hybridMultilevel"/>
    <w:lvl w:ilvl="0">
      <w:lvlJc w:val="left"/>
      <w:lvlText w:val="%1."/>
      <w:numFmt w:val="upperLetter"/>
      <w:start w:val="3"/>
    </w:lvl>
    <w:lvl w:ilvl="1">
      <w:lvlJc w:val="left"/>
      <w:lvlText w:val="%2."/>
      <w:numFmt w:val="lowerRoman"/>
      <w:start w:val="1"/>
    </w:lvl>
  </w:abstractNum>
  <w:abstractNum w:abstractNumId="111">
    <w:nsid w:val="2E22FBB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112">
    <w:nsid w:val="29934699"/>
    <w:multiLevelType w:val="hybridMultilevel"/>
    <w:lvl w:ilvl="0">
      <w:lvlJc w:val="left"/>
      <w:lvlText w:val="%1"/>
      <w:numFmt w:val="lowerLetter"/>
      <w:start w:val="1"/>
    </w:lvl>
    <w:lvl w:ilvl="1">
      <w:lvlJc w:val="left"/>
      <w:lvlText w:val="%2."/>
      <w:numFmt w:val="upperLetter"/>
      <w:start w:val="5"/>
    </w:lvl>
    <w:lvl w:ilvl="2">
      <w:lvlJc w:val="left"/>
      <w:lvlText w:val="%3"/>
      <w:numFmt w:val="lowerRoman"/>
      <w:start w:val="1"/>
    </w:lvl>
  </w:abstractNum>
  <w:abstractNum w:abstractNumId="113">
    <w:nsid w:val="77485850"/>
    <w:multiLevelType w:val="hybridMultilevel"/>
    <w:lvl w:ilvl="0">
      <w:lvlJc w:val="left"/>
      <w:lvlText w:val="(%1)"/>
      <w:numFmt w:val="lowerLetter"/>
      <w:start w:val="26"/>
    </w:lvl>
    <w:lvl w:ilvl="1">
      <w:lvlJc w:val="left"/>
      <w:lvlText w:val="%2."/>
      <w:numFmt w:val="upperLetter"/>
      <w:start w:val="9"/>
    </w:lvl>
    <w:lvl w:ilvl="2">
      <w:lvlJc w:val="left"/>
      <w:lvlText w:val="%3"/>
      <w:numFmt w:val="lowerRoman"/>
      <w:start w:val="1"/>
    </w:lvl>
  </w:abstractNum>
  <w:abstractNum w:abstractNumId="114">
    <w:nsid w:val="744939A3"/>
    <w:multiLevelType w:val="hybridMultilevel"/>
    <w:lvl w:ilvl="0">
      <w:lvlJc w:val="left"/>
      <w:lvlText w:val="(%1)"/>
      <w:numFmt w:val="lowerLetter"/>
      <w:start w:val="1"/>
    </w:lvl>
  </w:abstractNum>
  <w:abstractNum w:abstractNumId="115">
    <w:nsid w:val="4FA0D2E3"/>
    <w:multiLevelType w:val="hybridMultilevel"/>
    <w:lvl w:ilvl="0">
      <w:lvlJc w:val="left"/>
      <w:lvlText w:val="●"/>
      <w:numFmt w:val="bullet"/>
      <w:start w:val="1"/>
    </w:lvl>
  </w:abstractNum>
  <w:abstractNum w:abstractNumId="116">
    <w:nsid w:val="6B1D2C14"/>
    <w:multiLevelType w:val="hybridMultilevel"/>
    <w:lvl w:ilvl="0">
      <w:lvlJc w:val="left"/>
      <w:lvlText w:val="%1."/>
      <w:numFmt w:val="decimal"/>
      <w:start w:val="1"/>
    </w:lvl>
  </w:abstractNum>
  <w:abstractNum w:abstractNumId="117">
    <w:nsid w:val="68B867D3"/>
    <w:multiLevelType w:val="hybridMultilevel"/>
    <w:lvl w:ilvl="0">
      <w:lvlJc w:val="left"/>
      <w:lvlText w:val="%1."/>
      <w:numFmt w:val="decimal"/>
      <w:start w:val="2"/>
    </w:lvl>
  </w:abstractNum>
  <w:abstractNum w:abstractNumId="118">
    <w:nsid w:val="3F7F5DD9"/>
    <w:multiLevelType w:val="hybridMultilevel"/>
    <w:lvl w:ilvl="0">
      <w:lvlJc w:val="left"/>
      <w:lvlText w:val="%1."/>
      <w:numFmt w:val="decimal"/>
      <w:start w:val="3"/>
    </w:lvl>
  </w:abstractNum>
  <w:abstractNum w:abstractNumId="119">
    <w:nsid w:val="2AE05A34"/>
    <w:multiLevelType w:val="hybridMultilevel"/>
    <w:lvl w:ilvl="0">
      <w:lvlJc w:val="left"/>
      <w:lvlText w:val="(%1)"/>
      <w:numFmt w:val="upperLetter"/>
      <w:start w:val="1"/>
    </w:lvl>
  </w:abstractNum>
  <w:abstractNum w:abstractNumId="120">
    <w:nsid w:val="32794FF7"/>
    <w:multiLevelType w:val="hybridMultilevel"/>
    <w:lvl w:ilvl="0">
      <w:lvlJc w:val="left"/>
      <w:lvlText w:val="(%1)"/>
      <w:numFmt w:val="lowerRoman"/>
      <w:start w:val="2"/>
    </w:lvl>
  </w:abstractNum>
  <w:abstractNum w:abstractNumId="121">
    <w:nsid w:val="5454945E"/>
    <w:multiLevelType w:val="hybridMultilevel"/>
    <w:lvl w:ilvl="0">
      <w:lvlJc w:val="left"/>
      <w:lvlText w:val="(%1)"/>
      <w:numFmt w:val="upperLetter"/>
      <w:start w:val="1"/>
    </w:lvl>
  </w:abstractNum>
  <w:abstractNum w:abstractNumId="122">
    <w:nsid w:val="4DEFDFA0"/>
    <w:multiLevelType w:val="hybridMultilevel"/>
    <w:lvl w:ilvl="0">
      <w:lvlJc w:val="left"/>
      <w:lvlText w:val="(%1)"/>
      <w:numFmt w:val="lowerRoman"/>
      <w:start w:val="10"/>
    </w:lvl>
  </w:abstractNum>
  <w:abstractNum w:abstractNumId="123">
    <w:nsid w:val="2123D5F2"/>
    <w:multiLevelType w:val="hybridMultilevel"/>
    <w:lvl w:ilvl="0">
      <w:lvlJc w:val="left"/>
      <w:lvlText w:val="(%1)"/>
      <w:numFmt w:val="upperLetter"/>
      <w:start w:val="1"/>
    </w:lvl>
  </w:abstractNum>
  <w:abstractNum w:abstractNumId="124">
    <w:nsid w:val="135B8110"/>
    <w:multiLevelType w:val="hybridMultilevel"/>
    <w:lvl w:ilvl="0">
      <w:lvlJc w:val="left"/>
      <w:lvlText w:val="(%1)"/>
      <w:numFmt w:val="upperLetter"/>
      <w:start w:val="3"/>
    </w:lvl>
  </w:abstractNum>
  <w:abstractNum w:abstractNumId="125">
    <w:nsid w:val="94927A8"/>
    <w:multiLevelType w:val="hybridMultilevel"/>
    <w:lvl w:ilvl="0">
      <w:lvlJc w:val="left"/>
      <w:lvlText w:val="1"/>
      <w:numFmt w:val="bullet"/>
      <w:start w:val="1"/>
    </w:lvl>
  </w:abstractNum>
  <w:abstractNum w:abstractNumId="126">
    <w:nsid w:val="DCDF8F6"/>
    <w:multiLevelType w:val="hybridMultilevel"/>
    <w:lvl w:ilvl="0">
      <w:lvlJc w:val="left"/>
      <w:lvlText w:val="2"/>
      <w:numFmt w:val="bullet"/>
      <w:start w:val="1"/>
    </w:lvl>
  </w:abstractNum>
  <w:abstractNum w:abstractNumId="127">
    <w:nsid w:val="52D7B105"/>
    <w:multiLevelType w:val="hybridMultilevel"/>
    <w:lvl w:ilvl="0">
      <w:lvlJc w:val="left"/>
      <w:lvlText w:val="(%1)"/>
      <w:numFmt w:val="upperLetter"/>
      <w:start w:val="1"/>
    </w:lvl>
  </w:abstractNum>
  <w:abstractNum w:abstractNumId="128">
    <w:nsid w:val="2E8A6394"/>
    <w:multiLevelType w:val="hybridMultilevel"/>
    <w:lvl w:ilvl="0">
      <w:lvlJc w:val="left"/>
      <w:lvlText w:val="(%1)"/>
      <w:numFmt w:val="upperLetter"/>
      <w:start w:val="2"/>
    </w:lvl>
    <w:lvl w:ilvl="1">
      <w:lvlJc w:val="left"/>
      <w:lvlText w:val="(%2)"/>
      <w:numFmt w:val="lowerRoman"/>
      <w:start w:val="1"/>
    </w:lvl>
  </w:abstractNum>
  <w:abstractNum w:abstractNumId="129">
    <w:nsid w:val="24E60401"/>
    <w:multiLevelType w:val="hybridMultilevel"/>
    <w:lvl w:ilvl="0">
      <w:lvlJc w:val="left"/>
      <w:lvlText w:val="(%1)"/>
      <w:numFmt w:val="upperLetter"/>
      <w:start w:val="6"/>
    </w:lvl>
    <w:lvl w:ilvl="1">
      <w:lvlJc w:val="left"/>
      <w:lvlText w:val="(%2)"/>
      <w:numFmt w:val="lowerRoman"/>
      <w:start w:val="1"/>
    </w:lvl>
  </w:abstractNum>
  <w:abstractNum w:abstractNumId="130">
    <w:nsid w:val="2A6AD9BE"/>
    <w:multiLevelType w:val="hybridMultilevel"/>
    <w:lvl w:ilvl="0">
      <w:lvlJc w:val="left"/>
      <w:lvlText w:val="(%1)"/>
      <w:numFmt w:val="upperLetter"/>
      <w:start w:val="1"/>
    </w:lvl>
  </w:abstractNum>
  <w:abstractNum w:abstractNumId="131">
    <w:nsid w:val="BAAC1B4"/>
    <w:multiLevelType w:val="hybridMultilevel"/>
    <w:lvl w:ilvl="0">
      <w:lvlJc w:val="left"/>
      <w:lvlText w:val="(%1)"/>
      <w:numFmt w:val="upperLetter"/>
      <w:start w:val="4"/>
    </w:lvl>
  </w:abstractNum>
  <w:abstractNum w:abstractNumId="132">
    <w:nsid w:val="36B2ACBC"/>
    <w:multiLevelType w:val="hybridMultilevel"/>
    <w:lvl w:ilvl="0">
      <w:lvlJc w:val="left"/>
      <w:lvlText w:val="(%1)"/>
      <w:numFmt w:val="upperLetter"/>
      <w:start w:val="6"/>
    </w:lvl>
  </w:abstractNum>
  <w:abstractNum w:abstractNumId="133">
    <w:nsid w:val="779D8544"/>
    <w:multiLevelType w:val="hybridMultilevel"/>
    <w:lvl w:ilvl="0">
      <w:lvlJc w:val="left"/>
      <w:lvlText w:val="(%1)"/>
      <w:numFmt w:val="upperLetter"/>
      <w:start w:val="1"/>
    </w:lvl>
  </w:abstractNum>
  <w:abstractNum w:abstractNumId="134">
    <w:nsid w:val="4AB26E78"/>
    <w:multiLevelType w:val="hybridMultilevel"/>
    <w:lvl w:ilvl="0">
      <w:lvlJc w:val="left"/>
      <w:lvlText w:val="(%1)"/>
      <w:numFmt w:val="upperLetter"/>
      <w:start w:val="4"/>
    </w:lvl>
  </w:abstractNum>
  <w:abstractNum w:abstractNumId="135">
    <w:nsid w:val="21FAA2FA"/>
    <w:multiLevelType w:val="hybridMultilevel"/>
    <w:lvl w:ilvl="0">
      <w:lvlJc w:val="left"/>
      <w:lvlText w:val="(%1)"/>
      <w:numFmt w:val="upperLetter"/>
      <w:start w:val="1"/>
    </w:lvl>
    <w:lvl w:ilvl="1">
      <w:lvlJc w:val="left"/>
      <w:lvlText w:val="(%2)"/>
      <w:numFmt w:val="lowerRoman"/>
      <w:start w:val="1"/>
    </w:lvl>
  </w:abstractNum>
  <w:abstractNum w:abstractNumId="136">
    <w:nsid w:val="5451CF49"/>
    <w:multiLevelType w:val="hybridMultilevel"/>
    <w:lvl w:ilvl="0">
      <w:lvlJc w:val="left"/>
      <w:lvlText w:val="%1"/>
      <w:numFmt w:val="upperLetter"/>
      <w:start w:val="1"/>
    </w:lvl>
    <w:lvl w:ilvl="1">
      <w:lvlJc w:val="left"/>
      <w:lvlText w:val="(%2)"/>
      <w:numFmt w:val="lowerRoman"/>
      <w:start w:val="2"/>
    </w:lvl>
  </w:abstractNum>
  <w:abstractNum w:abstractNumId="137">
    <w:nsid w:val="6181EF69"/>
    <w:multiLevelType w:val="hybridMultilevel"/>
    <w:lvl w:ilvl="0">
      <w:lvlJc w:val="left"/>
      <w:lvlText w:val="(%1)"/>
      <w:numFmt w:val="upperLetter"/>
      <w:start w:val="2"/>
    </w:lvl>
    <w:lvl w:ilvl="1">
      <w:lvlJc w:val="left"/>
      <w:lvlText w:val="%2"/>
      <w:numFmt w:val="lowerRoman"/>
      <w:start w:val="1"/>
    </w:lvl>
  </w:abstractNum>
  <w:abstractNum w:abstractNumId="138">
    <w:nsid w:val="3E6400E6"/>
    <w:multiLevelType w:val="hybridMultilevel"/>
    <w:lvl w:ilvl="0">
      <w:lvlJc w:val="left"/>
      <w:lvlText w:val="%1"/>
      <w:numFmt w:val="upperLetter"/>
      <w:start w:val="1"/>
    </w:lvl>
    <w:lvl w:ilvl="1">
      <w:lvlJc w:val="left"/>
      <w:lvlText w:val="(%2)"/>
      <w:numFmt w:val="lowerRoman"/>
      <w:start w:val="1"/>
    </w:lvl>
  </w:abstractNum>
  <w:abstractNum w:abstractNumId="139">
    <w:nsid w:val="14217E23"/>
    <w:multiLevelType w:val="hybridMultilevel"/>
    <w:lvl w:ilvl="0">
      <w:lvlJc w:val="left"/>
      <w:lvlText w:val="(%1)"/>
      <w:numFmt w:val="upperLetter"/>
      <w:start w:val="3"/>
    </w:lvl>
    <w:lvl w:ilvl="1">
      <w:lvlJc w:val="left"/>
      <w:lvlText w:val="(%2)"/>
      <w:numFmt w:val="lowerRoman"/>
      <w:start w:val="1"/>
    </w:lvl>
  </w:abstractNum>
  <w:abstractNum w:abstractNumId="140">
    <w:nsid w:val="710757D0"/>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141">
    <w:nsid w:val="5015CD1A"/>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abstractNum>
  <w:abstractNum w:abstractNumId="142">
    <w:nsid w:val="424479DA"/>
    <w:multiLevelType w:val="hybridMultilevel"/>
    <w:lvl w:ilvl="0">
      <w:lvlJc w:val="left"/>
      <w:lvlText w:val="(%1)"/>
      <w:numFmt w:val="lowerRoman"/>
      <w:start w:val="3"/>
    </w:lvl>
    <w:lvl w:ilvl="1">
      <w:lvlJc w:val="left"/>
      <w:lvlText w:val="(%2)"/>
      <w:numFmt w:val="decimal"/>
      <w:start w:val="1"/>
    </w:lvl>
  </w:abstractNum>
  <w:abstractNum w:abstractNumId="143">
    <w:nsid w:val="1A9A9E69"/>
    <w:multiLevelType w:val="hybridMultilevel"/>
    <w:lvl w:ilvl="0">
      <w:lvlJc w:val="left"/>
      <w:lvlText w:val="(%1)"/>
      <w:numFmt w:val="decimal"/>
      <w:start w:val="1"/>
    </w:lvl>
    <w:lvl w:ilvl="1">
      <w:lvlJc w:val="left"/>
      <w:lvlText w:val="(%2)"/>
      <w:numFmt w:val="lowerRoman"/>
      <w:start w:val="5"/>
    </w:lvl>
  </w:abstractNum>
  <w:abstractNum w:abstractNumId="144">
    <w:nsid w:val="475E256A"/>
    <w:multiLevelType w:val="hybridMultilevel"/>
    <w:lvl w:ilvl="0">
      <w:lvlJc w:val="left"/>
      <w:lvlText w:val="(%1)"/>
      <w:numFmt w:val="upperLetter"/>
      <w:start w:val="5"/>
    </w:lvl>
    <w:lvl w:ilvl="1">
      <w:lvlJc w:val="left"/>
      <w:lvlText w:val="(%2)"/>
      <w:numFmt w:val="lowerRoman"/>
      <w:start w:val="1"/>
    </w:lvl>
    <w:lvl w:ilvl="2">
      <w:lvlJc w:val="left"/>
      <w:lvlText w:val="(%3)"/>
      <w:numFmt w:val="decimal"/>
      <w:start w:val="1"/>
    </w:lvl>
  </w:abstractNum>
  <w:abstractNum w:abstractNumId="145">
    <w:nsid w:val="368DB37E"/>
    <w:multiLevelType w:val="hybridMultilevel"/>
    <w:lvl w:ilvl="0">
      <w:lvlJc w:val="left"/>
      <w:lvlText w:val="(%1)"/>
      <w:numFmt w:val="decimal"/>
      <w:start w:val="2"/>
    </w:lvl>
  </w:abstractNum>
  <w:abstractNum w:abstractNumId="146">
    <w:nsid w:val="6A3B714C"/>
    <w:multiLevelType w:val="hybridMultilevel"/>
    <w:lvl w:ilvl="0">
      <w:lvlJc w:val="left"/>
      <w:lvlText w:val="%1"/>
      <w:numFmt w:val="upperLetter"/>
      <w:start w:val="1"/>
    </w:lvl>
    <w:lvl w:ilvl="1">
      <w:lvlJc w:val="left"/>
      <w:lvlText w:val="(%2)"/>
      <w:numFmt w:val="lowerRoman"/>
      <w:start w:val="2"/>
    </w:lvl>
  </w:abstractNum>
  <w:abstractNum w:abstractNumId="147">
    <w:nsid w:val="327B517E"/>
    <w:multiLevelType w:val="hybridMultilevel"/>
    <w:lvl w:ilvl="0">
      <w:lvlJc w:val="left"/>
      <w:lvlText w:val="(%1)"/>
      <w:numFmt w:val="upperLetter"/>
      <w:start w:val="7"/>
    </w:lvl>
    <w:lvl w:ilvl="1">
      <w:lvlJc w:val="left"/>
      <w:lvlText w:val="%2"/>
      <w:numFmt w:val="lowerRoman"/>
      <w:start w:val="1"/>
    </w:lvl>
  </w:abstractNum>
  <w:abstractNum w:abstractNumId="148">
    <w:nsid w:val="1F461B51"/>
    <w:multiLevelType w:val="hybridMultilevel"/>
    <w:lvl w:ilvl="0">
      <w:lvlJc w:val="left"/>
      <w:lvlText w:val="(%1)"/>
      <w:numFmt w:val="upperLetter"/>
      <w:start w:val="1"/>
    </w:lvl>
  </w:abstractNum>
  <w:abstractNum w:abstractNumId="149">
    <w:nsid w:val="29BACF25"/>
    <w:multiLevelType w:val="hybridMultilevel"/>
    <w:lvl w:ilvl="0">
      <w:lvlJc w:val="left"/>
      <w:lvlText w:val="(%1)"/>
      <w:numFmt w:val="upperLetter"/>
      <w:start w:val="2"/>
    </w:lvl>
    <w:lvl w:ilvl="1">
      <w:lvlJc w:val="left"/>
      <w:lvlText w:val="(%2)"/>
      <w:numFmt w:val="lowerRoman"/>
      <w:start w:val="1"/>
    </w:lvl>
  </w:abstractNum>
  <w:abstractNum w:abstractNumId="150">
    <w:nsid w:val="5D5BABB3"/>
    <w:multiLevelType w:val="hybridMultilevel"/>
    <w:lvl w:ilvl="0">
      <w:lvlJc w:val="left"/>
      <w:lvlText w:val="(%1)"/>
      <w:numFmt w:val="upperLetter"/>
      <w:start w:val="3"/>
    </w:lvl>
  </w:abstractNum>
  <w:abstractNum w:abstractNumId="151">
    <w:nsid w:val="51BF6B48"/>
    <w:multiLevelType w:val="hybridMultilevel"/>
    <w:lvl w:ilvl="0">
      <w:lvlJc w:val="left"/>
      <w:lvlText w:val="(%1)"/>
      <w:numFmt w:val="upperLetter"/>
      <w:start w:val="7"/>
    </w:lvl>
  </w:abstractNum>
  <w:abstractNum w:abstractNumId="152">
    <w:nsid w:val="7E0F6384"/>
    <w:multiLevelType w:val="hybridMultilevel"/>
    <w:lvl w:ilvl="0">
      <w:lvlJc w:val="left"/>
      <w:lvlText w:val="(%1)"/>
      <w:numFmt w:val="upperLetter"/>
      <w:start w:val="10"/>
    </w:lvl>
  </w:abstractNum>
  <w:abstractNum w:abstractNumId="153">
    <w:nsid w:val="2B4B8B53"/>
    <w:multiLevelType w:val="hybridMultilevel"/>
    <w:lvl w:ilvl="0">
      <w:lvlJc w:val="left"/>
      <w:lvlText w:val="(%1)"/>
      <w:numFmt w:val="upperLetter"/>
      <w:start w:val="16"/>
    </w:lvl>
  </w:abstractNum>
  <w:abstractNum w:abstractNumId="154">
    <w:nsid w:val="72E3413A"/>
    <w:multiLevelType w:val="hybridMultilevel"/>
    <w:lvl w:ilvl="0">
      <w:lvlJc w:val="left"/>
      <w:lvlText w:val="(%1)"/>
      <w:numFmt w:val="upperLetter"/>
      <w:start w:val="18"/>
    </w:lvl>
  </w:abstractNum>
  <w:abstractNum w:abstractNumId="155">
    <w:nsid w:val="116AE494"/>
    <w:multiLevelType w:val="hybridMultilevel"/>
    <w:lvl w:ilvl="0">
      <w:lvlJc w:val="left"/>
      <w:lvlText w:val="(%1)"/>
      <w:numFmt w:val="upperLetter"/>
      <w:start w:val="21"/>
    </w:lvl>
  </w:abstractNum>
  <w:abstractNum w:abstractNumId="156">
    <w:nsid w:val="3494B2FB"/>
    <w:multiLevelType w:val="hybridMultilevel"/>
    <w:lvl w:ilvl="0">
      <w:lvlJc w:val="left"/>
      <w:lvlText w:val="(%1)"/>
      <w:numFmt w:val="upperLetter"/>
      <w:start w:val="27"/>
    </w:lvl>
    <w:lvl w:ilvl="1">
      <w:lvlJc w:val="left"/>
      <w:lvlText w:val="(%2)"/>
      <w:numFmt w:val="lowerRoman"/>
      <w:start w:val="1"/>
    </w:lvl>
  </w:abstractNum>
  <w:abstractNum w:abstractNumId="157">
    <w:nsid w:val="B13A31"/>
    <w:multiLevelType w:val="hybridMultilevel"/>
    <w:lvl w:ilvl="0">
      <w:lvlJc w:val="left"/>
      <w:lvlText w:val="(%1)"/>
      <w:numFmt w:val="upperLetter"/>
      <w:start w:val="1"/>
    </w:lvl>
  </w:abstractNum>
  <w:abstractNum w:abstractNumId="158">
    <w:nsid w:val="64429599"/>
    <w:multiLevelType w:val="hybridMultilevel"/>
    <w:lvl w:ilvl="0">
      <w:lvlJc w:val="left"/>
      <w:lvlText w:val="(%1)"/>
      <w:numFmt w:val="upperLetter"/>
      <w:start w:val="2"/>
    </w:lvl>
  </w:abstractNum>
  <w:abstractNum w:abstractNumId="159">
    <w:nsid w:val="631F1690"/>
    <w:multiLevelType w:val="hybridMultilevel"/>
    <w:lvl w:ilvl="0">
      <w:lvlJc w:val="left"/>
      <w:lvlText w:val="(%1)"/>
      <w:numFmt w:val="upperLetter"/>
      <w:start w:val="1"/>
    </w:lvl>
    <w:lvl w:ilvl="1">
      <w:lvlJc w:val="left"/>
      <w:lvlText w:val="(%2)"/>
      <w:numFmt w:val="lowerRoman"/>
      <w:start w:val="1"/>
    </w:lvl>
  </w:abstractNum>
  <w:abstractNum w:abstractNumId="160">
    <w:nsid w:val="25973E32"/>
    <w:multiLevelType w:val="hybridMultilevel"/>
    <w:lvl w:ilvl="0">
      <w:lvlJc w:val="left"/>
      <w:lvlText w:val="(%1)"/>
      <w:numFmt w:val="lowerRoman"/>
      <w:start w:val="7"/>
    </w:lvl>
  </w:abstractNum>
  <w:abstractNum w:abstractNumId="161">
    <w:nsid w:val="EAD6F57"/>
    <w:multiLevelType w:val="hybridMultilevel"/>
    <w:lvl w:ilvl="0">
      <w:lvlJc w:val="left"/>
      <w:lvlText w:val="(%1)"/>
      <w:numFmt w:val="lowerRoman"/>
      <w:start w:val="12"/>
    </w:lvl>
    <w:lvl w:ilvl="1">
      <w:lvlJc w:val="left"/>
      <w:lvlText w:val="(%2)"/>
      <w:numFmt w:val="decimal"/>
      <w:start w:val="1"/>
    </w:lvl>
  </w:abstractNum>
  <w:abstractNum w:abstractNumId="162">
    <w:nsid w:val="6EC9D844"/>
    <w:multiLevelType w:val="hybridMultilevel"/>
    <w:lvl w:ilvl="0">
      <w:lvlJc w:val="left"/>
      <w:lvlText w:val="%1"/>
      <w:numFmt w:val="lowerRoman"/>
      <w:start w:val="1"/>
    </w:lvl>
    <w:lvl w:ilvl="1">
      <w:lvlJc w:val="left"/>
      <w:lvlText w:val="(%2)"/>
      <w:numFmt w:val="decimal"/>
      <w:start w:val="2"/>
    </w:lvl>
  </w:abstractNum>
  <w:abstractNum w:abstractNumId="163">
    <w:nsid w:val="5C49EAEE"/>
    <w:multiLevelType w:val="hybridMultilevel"/>
    <w:lvl w:ilvl="0">
      <w:lvlJc w:val="left"/>
      <w:lvlText w:val="(%1)"/>
      <w:numFmt w:val="lowerRoman"/>
      <w:start w:val="18"/>
    </w:lvl>
    <w:lvl w:ilvl="1">
      <w:lvlJc w:val="left"/>
      <w:lvlText w:val="(%2)"/>
      <w:numFmt w:val="decimal"/>
      <w:start w:val="1"/>
    </w:lvl>
  </w:abstractNum>
  <w:abstractNum w:abstractNumId="164">
    <w:nsid w:val="64AF49B"/>
    <w:multiLevelType w:val="hybridMultilevel"/>
    <w:lvl w:ilvl="0">
      <w:lvlJc w:val="left"/>
      <w:lvlText w:val="%1"/>
      <w:numFmt w:val="upperLetter"/>
      <w:start w:val="1"/>
    </w:lvl>
    <w:lvl w:ilvl="1">
      <w:lvlJc w:val="left"/>
      <w:lvlText w:val="(%2)"/>
      <w:numFmt w:val="lowerRoman"/>
      <w:start w:val="19"/>
    </w:lvl>
  </w:abstractNum>
  <w:abstractNum w:abstractNumId="165">
    <w:nsid w:val="397C46BC"/>
    <w:multiLevelType w:val="hybridMultilevel"/>
    <w:lvl w:ilvl="0">
      <w:lvlJc w:val="left"/>
      <w:lvlText w:val="(%1)"/>
      <w:numFmt w:val="upperLetter"/>
      <w:start w:val="2"/>
    </w:lvl>
    <w:lvl w:ilvl="1">
      <w:lvlJc w:val="left"/>
      <w:lvlText w:val="(%2)"/>
      <w:numFmt w:val="lowerRoman"/>
      <w:start w:val="1"/>
    </w:lvl>
  </w:abstractNum>
  <w:abstractNum w:abstractNumId="166">
    <w:nsid w:val="7E448DE9"/>
    <w:multiLevelType w:val="hybridMultilevel"/>
    <w:lvl w:ilvl="0">
      <w:lvlJc w:val="left"/>
      <w:lvlText w:val="(%1)"/>
      <w:numFmt w:val="upperLetter"/>
      <w:start w:val="3"/>
    </w:lvl>
  </w:abstractNum>
  <w:abstractNum w:abstractNumId="167">
    <w:nsid w:val="5A9CC3E5"/>
    <w:multiLevelType w:val="hybridMultilevel"/>
    <w:lvl w:ilvl="0">
      <w:lvlJc w:val="left"/>
      <w:lvlText w:val="%1."/>
      <w:numFmt w:val="lowerRoman"/>
      <w:start w:val="1"/>
    </w:lvl>
  </w:abstractNum>
  <w:abstractNum w:abstractNumId="168">
    <w:nsid w:val="1AFE3625"/>
    <w:multiLevelType w:val="hybridMultilevel"/>
    <w:lvl w:ilvl="0">
      <w:lvlJc w:val="left"/>
      <w:lvlText w:val="%1."/>
      <w:numFmt w:val="decimal"/>
      <w:start w:val="1"/>
    </w:lvl>
    <w:lvl w:ilvl="1">
      <w:lvlJc w:val="left"/>
      <w:lvlText w:val="(%2)"/>
      <w:numFmt w:val="lowerLetter"/>
      <w:start w:val="1"/>
    </w:lvl>
  </w:abstractNum>
  <w:abstractNum w:abstractNumId="169">
    <w:nsid w:val="3CA88ECF"/>
    <w:multiLevelType w:val="hybridMultilevel"/>
    <w:lvl w:ilvl="0">
      <w:lvlJc w:val="left"/>
      <w:lvlText w:val="(%1)"/>
      <w:numFmt w:val="lowerLetter"/>
      <w:start w:val="2"/>
    </w:lvl>
  </w:abstractNum>
  <w:abstractNum w:abstractNumId="170">
    <w:nsid w:val="6EBE4208"/>
    <w:multiLevelType w:val="hybridMultilevel"/>
    <w:lvl w:ilvl="0">
      <w:lvlJc w:val="left"/>
      <w:lvlText w:val="(%1)"/>
      <w:numFmt w:val="lowerLetter"/>
      <w:start w:val="3"/>
    </w:lvl>
  </w:abstractNum>
  <w:abstractNum w:abstractNumId="171">
    <w:nsid w:val="C058DF5"/>
    <w:multiLevelType w:val="hybridMultilevel"/>
    <w:lvl w:ilvl="0">
      <w:lvlJc w:val="left"/>
      <w:lvlText w:val="(%1)"/>
      <w:numFmt w:val="upperLetter"/>
      <w:start w:val="1"/>
    </w:lvl>
  </w:abstractNum>
  <w:abstractNum w:abstractNumId="172">
    <w:nsid w:val="CBE5BE9"/>
    <w:multiLevelType w:val="hybridMultilevel"/>
    <w:lvl w:ilvl="0">
      <w:lvlJc w:val="left"/>
      <w:lvlText w:val="(%1)"/>
      <w:numFmt w:val="upperLetter"/>
      <w:start w:val="24"/>
    </w:lvl>
  </w:abstractNum>
  <w:abstractNum w:abstractNumId="173">
    <w:nsid w:val="3102BBE2"/>
    <w:multiLevelType w:val="hybridMultilevel"/>
    <w:lvl w:ilvl="0">
      <w:lvlJc w:val="left"/>
      <w:lvlText w:val="(%1)"/>
      <w:numFmt w:val="lowerLetter"/>
      <w:start w:val="4"/>
    </w:lvl>
    <w:lvl w:ilvl="1">
      <w:lvlJc w:val="left"/>
      <w:lvlText w:val="(%2)"/>
      <w:numFmt w:val="lowerRoman"/>
      <w:start w:val="1"/>
    </w:lvl>
  </w:abstractNum>
  <w:abstractNum w:abstractNumId="174">
    <w:nsid w:val="26A02C5E"/>
    <w:multiLevelType w:val="hybridMultilevel"/>
    <w:lvl w:ilvl="0">
      <w:lvlJc w:val="left"/>
      <w:lvlText w:val="(%1)"/>
      <w:numFmt w:val="lowerRoman"/>
      <w:start w:val="3"/>
    </w:lvl>
  </w:abstractNum>
  <w:abstractNum w:abstractNumId="175">
    <w:nsid w:val="541C8153"/>
    <w:multiLevelType w:val="hybridMultilevel"/>
    <w:lvl w:ilvl="0">
      <w:lvlJc w:val="left"/>
      <w:lvlText w:val="(%1)"/>
      <w:numFmt w:val="lowerRoman"/>
      <w:start w:val="4"/>
    </w:lvl>
  </w:abstractNum>
  <w:abstractNum w:abstractNumId="176">
    <w:nsid w:val="67906F60"/>
    <w:multiLevelType w:val="hybridMultilevel"/>
    <w:lvl w:ilvl="0">
      <w:lvlJc w:val="left"/>
      <w:lvlText w:val="(%1)"/>
      <w:numFmt w:val="lowerRoman"/>
      <w:start w:val="7"/>
    </w:lvl>
  </w:abstractNum>
  <w:abstractNum w:abstractNumId="177">
    <w:nsid w:val="10DB9DAA"/>
    <w:multiLevelType w:val="hybridMultilevel"/>
    <w:lvl w:ilvl="0">
      <w:lvlJc w:val="left"/>
      <w:lvlText w:val="(%1)"/>
      <w:numFmt w:val="lowerLetter"/>
      <w:start w:val="5"/>
    </w:lvl>
  </w:abstractNum>
  <w:abstractNum w:abstractNumId="178">
    <w:nsid w:val="697D2D2"/>
    <w:multiLevelType w:val="hybridMultilevel"/>
    <w:lvl w:ilvl="0">
      <w:lvlJc w:val="left"/>
      <w:lvlText w:val="%1."/>
      <w:numFmt w:val="decimal"/>
      <w:start w:val="3"/>
    </w:lvl>
    <w:lvl w:ilvl="1">
      <w:lvlJc w:val="left"/>
      <w:lvlText w:val="(%2)"/>
      <w:numFmt w:val="lowerLetter"/>
      <w:start w:val="1"/>
    </w:lvl>
  </w:abstractNum>
  <w:abstractNum w:abstractNumId="179">
    <w:nsid w:val="6D68AB2"/>
    <w:multiLevelType w:val="hybridMultilevel"/>
    <w:lvl w:ilvl="0">
      <w:lvlJc w:val="left"/>
      <w:lvlText w:val="(%1)"/>
      <w:numFmt w:val="lowerLetter"/>
      <w:start w:val="2"/>
    </w:lvl>
  </w:abstractNum>
  <w:abstractNum w:abstractNumId="180">
    <w:nsid w:val="3A966CD0"/>
    <w:multiLevelType w:val="hybridMultilevel"/>
    <w:lvl w:ilvl="0">
      <w:lvlJc w:val="left"/>
      <w:lvlText w:val="%1."/>
      <w:numFmt w:val="lowerRoman"/>
      <w:start w:val="2"/>
    </w:lvl>
  </w:abstractNum>
  <w:abstractNum w:abstractNumId="181">
    <w:nsid w:val="63F37E85"/>
    <w:multiLevelType w:val="hybridMultilevel"/>
    <w:lvl w:ilvl="0">
      <w:lvlJc w:val="left"/>
      <w:lvlText w:val="%1."/>
      <w:numFmt w:val="lowerRoman"/>
      <w:start w:val="4"/>
    </w:lvl>
  </w:abstractNum>
  <w:abstractNum w:abstractNumId="182">
    <w:nsid w:val="5895F5FA"/>
    <w:multiLevelType w:val="hybridMultilevel"/>
    <w:lvl w:ilvl="0">
      <w:lvlJc w:val="left"/>
      <w:lvlText w:val="(%1)"/>
      <w:numFmt w:val="lowerLetter"/>
      <w:start w:val="4"/>
    </w:lvl>
  </w:abstractNum>
  <w:abstractNum w:abstractNumId="183">
    <w:nsid w:val="38A5D054"/>
    <w:multiLevelType w:val="hybridMultilevel"/>
    <w:lvl w:ilvl="0">
      <w:lvlJc w:val="left"/>
      <w:lvlText w:val="(%1)"/>
      <w:numFmt w:val="decimal"/>
      <w:start w:val="3"/>
    </w:lvl>
  </w:abstractNum>
  <w:abstractNum w:abstractNumId="184">
    <w:nsid w:val="F3F09D8"/>
    <w:multiLevelType w:val="hybridMultilevel"/>
    <w:lvl w:ilvl="0">
      <w:lvlJc w:val="left"/>
      <w:lvlText w:val="(%1)"/>
      <w:numFmt w:val="lowerLetter"/>
      <w:start w:val="7"/>
    </w:lvl>
    <w:lvl w:ilvl="1">
      <w:lvlJc w:val="left"/>
      <w:lvlText w:val="(%2)"/>
      <w:numFmt w:val="lowerLetter"/>
      <w:start w:val="9"/>
    </w:lvl>
  </w:abstractNum>
  <w:abstractNum w:abstractNumId="185">
    <w:nsid w:val="4B79373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86">
    <w:nsid w:val="4A10B4E8"/>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87">
    <w:nsid w:val="43D3BCD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88">
    <w:nsid w:val="4C2A7166"/>
    <w:multiLevelType w:val="hybridMultilevel"/>
    <w:lvl w:ilvl="0">
      <w:lvlJc w:val="left"/>
      <w:lvlText w:val="%1"/>
      <w:numFmt w:val="decimal"/>
      <w:start w:val="1"/>
    </w:lvl>
    <w:lvl w:ilvl="1">
      <w:lvlJc w:val="left"/>
      <w:lvlText w:val="(%2)"/>
      <w:numFmt w:val="lowerLetter"/>
      <w:start w:val="2"/>
    </w:lvl>
  </w:abstractNum>
  <w:abstractNum w:abstractNumId="189">
    <w:nsid w:val="2E534A82"/>
    <w:multiLevelType w:val="hybridMultilevel"/>
    <w:lvl w:ilvl="0">
      <w:lvlJc w:val="left"/>
      <w:lvlText w:val="%1."/>
      <w:numFmt w:val="decimal"/>
      <w:start w:val="5"/>
    </w:lvl>
    <w:lvl w:ilvl="1">
      <w:lvlJc w:val="left"/>
      <w:lvlText w:val="(%2)"/>
      <w:numFmt w:val="lowerLetter"/>
      <w:start w:val="1"/>
    </w:lvl>
  </w:abstractNum>
  <w:abstractNum w:abstractNumId="190">
    <w:nsid w:val="26F2D364"/>
    <w:multiLevelType w:val="hybridMultilevel"/>
    <w:lvl w:ilvl="0">
      <w:lvlJc w:val="left"/>
      <w:lvlText w:val="(%1)"/>
      <w:numFmt w:val="lowerLetter"/>
      <w:start w:val="4"/>
    </w:lvl>
  </w:abstractNum>
  <w:abstractNum w:abstractNumId="191">
    <w:nsid w:val="71C1AF98"/>
    <w:multiLevelType w:val="hybridMultilevel"/>
    <w:lvl w:ilvl="0">
      <w:lvlJc w:val="left"/>
      <w:lvlText w:val="(%1)"/>
      <w:numFmt w:val="lowerLetter"/>
      <w:start w:val="6"/>
    </w:lvl>
  </w:abstractNum>
  <w:abstractNum w:abstractNumId="192">
    <w:nsid w:val="3D00B9D9"/>
    <w:multiLevelType w:val="hybridMultilevel"/>
    <w:lvl w:ilvl="0">
      <w:lvlJc w:val="left"/>
      <w:lvlText w:val="(%1)"/>
      <w:numFmt w:val="lowerLetter"/>
      <w:start w:val="9"/>
    </w:lvl>
  </w:abstractNum>
  <w:abstractNum w:abstractNumId="193">
    <w:nsid w:val="15BCABA8"/>
    <w:multiLevelType w:val="hybridMultilevel"/>
    <w:lvl w:ilvl="0">
      <w:lvlJc w:val="left"/>
      <w:lvlText w:val="(%1)"/>
      <w:numFmt w:val="decimal"/>
      <w:start w:val="1"/>
    </w:lvl>
    <w:lvl w:ilvl="1">
      <w:lvlJc w:val="left"/>
      <w:lvlText w:val="☐"/>
      <w:numFmt w:val="bullet"/>
      <w:start w:val="1"/>
    </w:lvl>
  </w:abstractNum>
  <w:abstractNum w:abstractNumId="194">
    <w:nsid w:val="4E0B9A87"/>
    <w:multiLevelType w:val="hybridMultilevel"/>
    <w:lvl w:ilvl="0">
      <w:lvlJc w:val="left"/>
      <w:lvlText w:val="%1."/>
      <w:numFmt w:val="decimal"/>
      <w:start w:val="1"/>
    </w:lvl>
  </w:abstractNum>
  <w:abstractNum w:abstractNumId="195">
    <w:nsid w:val="434BAE75"/>
    <w:multiLevelType w:val="hybridMultilevel"/>
    <w:lvl w:ilvl="0">
      <w:lvlJc w:val="left"/>
      <w:lvlText w:val="%1."/>
      <w:numFmt w:val="decimal"/>
      <w:start w:val="1"/>
    </w:lvl>
    <w:lvl w:ilvl="1">
      <w:lvlJc w:val="left"/>
      <w:lvlText w:val="(%2)"/>
      <w:numFmt w:val="lowerLetter"/>
      <w:start w:val="1"/>
    </w:lvl>
  </w:abstractNum>
  <w:abstractNum w:abstractNumId="196">
    <w:nsid w:val="4F38F265"/>
    <w:multiLevelType w:val="hybridMultilevel"/>
    <w:lvl w:ilvl="0">
      <w:lvlJc w:val="left"/>
      <w:lvlText w:val="%1."/>
      <w:numFmt w:val="decimal"/>
      <w:start w:val="1"/>
    </w:lvl>
    <w:lvl w:ilvl="1">
      <w:lvlJc w:val="left"/>
      <w:lvlText w:val="(%2)"/>
      <w:numFmt w:val="lowerLetter"/>
      <w:start w:val="1"/>
    </w:lvl>
  </w:abstractNum>
  <w:abstractNum w:abstractNumId="197">
    <w:nsid w:val="4C502870"/>
    <w:multiLevelType w:val="hybridMultilevel"/>
    <w:lvl w:ilvl="0">
      <w:lvlJc w:val="left"/>
      <w:lvlText w:val="(%1)"/>
      <w:numFmt w:val="decimal"/>
      <w:start w:val="1"/>
    </w:lvl>
  </w:abstractNum>
  <w:abstractNum w:abstractNumId="198">
    <w:nsid w:val="1DE8725A"/>
    <w:multiLevelType w:val="hybridMultilevel"/>
    <w:lvl w:ilvl="0">
      <w:lvlJc w:val="left"/>
      <w:lvlText w:val="(%1)"/>
      <w:numFmt w:val="decimal"/>
      <w:start w:val="1"/>
    </w:lvl>
  </w:abstractNum>
  <w:abstractNum w:abstractNumId="199">
    <w:nsid w:val="6A37288A"/>
    <w:multiLevelType w:val="hybridMultilevel"/>
    <w:lvl w:ilvl="0">
      <w:lvlJc w:val="left"/>
      <w:lvlText w:val="●"/>
      <w:numFmt w:val="bullet"/>
      <w:start w:val="1"/>
    </w:lvl>
  </w:abstractNum>
  <w:abstractNum w:abstractNumId="200">
    <w:nsid w:val="8F8B73F"/>
    <w:multiLevelType w:val="hybridMultilevel"/>
    <w:lvl w:ilvl="0">
      <w:lvlJc w:val="left"/>
      <w:lvlText w:val="●"/>
      <w:numFmt w:val="bullet"/>
      <w:start w:val="1"/>
    </w:lvl>
  </w:abstractNum>
  <w:abstractNum w:abstractNumId="201">
    <w:nsid w:val="CA6B462"/>
    <w:multiLevelType w:val="hybridMultilevel"/>
    <w:lvl w:ilvl="0">
      <w:lvlJc w:val="left"/>
      <w:lvlText w:val="(%1)"/>
      <w:numFmt w:val="lowerRoman"/>
      <w:start w:val="1"/>
    </w:lvl>
  </w:abstractNum>
  <w:abstractNum w:abstractNumId="202">
    <w:nsid w:val="763CB680"/>
    <w:multiLevelType w:val="hybridMultilevel"/>
    <w:lvl w:ilvl="0">
      <w:lvlJc w:val="left"/>
      <w:lvlText w:val="●"/>
      <w:numFmt w:val="bullet"/>
      <w:start w:val="1"/>
    </w:lvl>
  </w:abstractNum>
  <w:abstractNum w:abstractNumId="203">
    <w:nsid w:val="15B71329"/>
    <w:multiLevelType w:val="hybridMultilevel"/>
    <w:lvl w:ilvl="0">
      <w:lvlJc w:val="left"/>
      <w:lvlText w:val="●"/>
      <w:numFmt w:val="bullet"/>
      <w:start w:val="1"/>
    </w:lvl>
  </w:abstractNum>
  <w:abstractNum w:abstractNumId="204">
    <w:nsid w:val="3DA97044"/>
    <w:multiLevelType w:val="hybridMultilevel"/>
    <w:lvl w:ilvl="0">
      <w:lvlJc w:val="left"/>
      <w:lvlText w:val="1"/>
      <w:numFmt w:val="bullet"/>
      <w:start w:val="1"/>
    </w:lvl>
  </w:abstractNum>
  <w:abstractNum w:abstractNumId="205">
    <w:nsid w:val="1CDCE2DE"/>
    <w:multiLevelType w:val="hybridMultilevel"/>
    <w:lvl w:ilvl="0">
      <w:lvlJc w:val="left"/>
      <w:lvlText w:val="(%1)"/>
      <w:numFmt w:val="decimal"/>
      <w:start w:val="1"/>
    </w:lvl>
  </w:abstractNum>
  <w:abstractNum w:abstractNumId="206">
    <w:nsid w:val="69D3947C"/>
    <w:multiLevelType w:val="hybridMultilevel"/>
    <w:lvl w:ilvl="0">
      <w:lvlJc w:val="left"/>
      <w:lvlText w:val="(%1)"/>
      <w:numFmt w:val="decimal"/>
      <w:start w:val="1"/>
    </w:lvl>
  </w:abstractNum>
  <w:abstractNum w:abstractNumId="207">
    <w:nsid w:val="2539DFA5"/>
    <w:multiLevelType w:val="hybridMultilevel"/>
    <w:lvl w:ilvl="0">
      <w:lvlJc w:val="left"/>
      <w:lvlText w:val="●"/>
      <w:numFmt w:val="bullet"/>
      <w:start w:val="1"/>
    </w:lvl>
  </w:abstractNum>
  <w:abstractNum w:abstractNumId="208">
    <w:nsid w:val="2DB88089"/>
    <w:multiLevelType w:val="hybridMultilevel"/>
    <w:lvl w:ilvl="0">
      <w:lvlJc w:val="left"/>
      <w:lvlText w:val="1"/>
      <w:numFmt w:val="bullet"/>
      <w:start w:val="1"/>
    </w:lvl>
  </w:abstractNum>
  <w:abstractNum w:abstractNumId="209">
    <w:nsid w:val="706B674E"/>
    <w:multiLevelType w:val="hybridMultilevel"/>
    <w:lvl w:ilvl="0">
      <w:lvlJc w:val="left"/>
      <w:lvlText w:val="●"/>
      <w:numFmt w:val="bullet"/>
      <w:start w:val="1"/>
    </w:lvl>
  </w:abstractNum>
  <w:abstractNum w:abstractNumId="210">
    <w:nsid w:val="2C106A57"/>
    <w:multiLevelType w:val="hybridMultilevel"/>
    <w:lvl w:ilvl="0">
      <w:lvlJc w:val="left"/>
      <w:lvlText w:val="●"/>
      <w:numFmt w:val="bullet"/>
      <w:start w:val="1"/>
    </w:lvl>
  </w:abstractNum>
  <w:abstractNum w:abstractNumId="211">
    <w:nsid w:val="684EED59"/>
    <w:multiLevelType w:val="hybridMultilevel"/>
    <w:lvl w:ilvl="0">
      <w:lvlJc w:val="left"/>
      <w:lvlText w:val="%1."/>
      <w:numFmt w:val="upperLetter"/>
      <w:start w:val="1"/>
    </w:lvl>
    <w:lvl w:ilvl="1">
      <w:lvlJc w:val="left"/>
      <w:lvlText w:val="(%2)"/>
      <w:numFmt w:val="lowerLetter"/>
      <w:start w:val="1"/>
    </w:lvl>
  </w:abstractNum>
  <w:abstractNum w:abstractNumId="212">
    <w:nsid w:val="545EE5D3"/>
    <w:multiLevelType w:val="hybridMultilevel"/>
    <w:lvl w:ilvl="0">
      <w:lvlJc w:val="left"/>
      <w:lvlText w:val="%1."/>
      <w:numFmt w:val="upperLetter"/>
      <w:start w:val="9"/>
    </w:lvl>
  </w:abstractNum>
  <w:abstractNum w:abstractNumId="213">
    <w:nsid w:val="4A66051"/>
    <w:multiLevelType w:val="hybridMultilevel"/>
    <w:lvl w:ilvl="0">
      <w:lvlJc w:val="left"/>
      <w:lvlText w:val="%1."/>
      <w:numFmt w:val="upperLetter"/>
      <w:start w:val="13"/>
    </w:lvl>
  </w:abstractNum>
  <w:abstractNum w:abstractNumId="214">
    <w:nsid w:val="20F4BDAD"/>
    <w:multiLevelType w:val="hybridMultilevel"/>
    <w:lvl w:ilvl="0">
      <w:lvlJc w:val="left"/>
      <w:lvlText w:val="%1."/>
      <w:numFmt w:val="upperLetter"/>
      <w:start w:val="27"/>
    </w:lvl>
  </w:abstractNum>
  <w:abstractNum w:abstractNumId="215">
    <w:nsid w:val="639DEFA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jpe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320" Type="http://schemas.openxmlformats.org/officeDocument/2006/relationships/image" Target="media/image297.png"/><Relationship Id="rId321" Type="http://schemas.openxmlformats.org/officeDocument/2006/relationships/image" Target="media/image298.png"/><Relationship Id="rId322"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35"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21" Type="http://schemas.openxmlformats.org/officeDocument/2006/relationships/hyperlink" Target="https://www.sec.gov/Archives/edgar/data/2006815/000182912626001490/veraxabiotech_424b3.htm#a_012" TargetMode="External"/><Relationship Id="rId22" Type="http://schemas.openxmlformats.org/officeDocument/2006/relationships/hyperlink" Target="https://www.sec.gov/Archives/edgar/data/2006815/000182912626001295/veraxabiotech_f4a.htm" TargetMode="External"/><Relationship Id="rId32" Type="http://schemas.openxmlformats.org/officeDocument/2006/relationships/hyperlink" Target="https://www.sec.gov/Archives/edgar/data/2006815/000182912626001490/veraxabiotech_424b3.htm#a_014" TargetMode="External"/><Relationship Id="rId128" Type="http://schemas.openxmlformats.org/officeDocument/2006/relationships/hyperlink" Target="https://www.sec.gov/Archives/edgar/data/2006815/000182912624005510/voyageracq_ex4-1.htm" TargetMode="External"/><Relationship Id="rId129" Type="http://schemas.openxmlformats.org/officeDocument/2006/relationships/hyperlink" Target="https://www.sec.gov/Archives/edgar/data/2006815/000182912624005510/voyageracq_ex10-4.htm" TargetMode="External"/><Relationship Id="rId130" Type="http://schemas.openxmlformats.org/officeDocument/2006/relationships/hyperlink" Target="https://www.sec.gov/Archives/edgar/data/2006815/000182912624005510/voyageracq_ex10-5.htm" TargetMode="External"/><Relationship Id="rId131" Type="http://schemas.openxmlformats.org/officeDocument/2006/relationships/hyperlink" Target="https://www.sec.gov/Archives/edgar/data/2006815/000182912625002874/voyageracq_ex2-1.htm" TargetMode="External"/><Relationship Id="rId132" Type="http://schemas.openxmlformats.org/officeDocument/2006/relationships/hyperlink" Target="https://www.sec.gov/Archives/edgar/data/2006815/000182912625008292/voyageracq_ex2-1.htm" TargetMode="External"/><Relationship Id="rId133" Type="http://schemas.openxmlformats.org/officeDocument/2006/relationships/hyperlink" Target="https://www.sec.gov/Archives/edgar/data/2006815/000182912626000900/voyageracq_ex2-1.htm" TargetMode="External"/><Relationship Id="rId134" Type="http://schemas.openxmlformats.org/officeDocument/2006/relationships/hyperlink" Target="https://www.sec.gov/Archives/edgar/data/2006815/000182912625005092/voyageracq_ex10-1.htm" TargetMode="External"/><Relationship Id="rId135" Type="http://schemas.openxmlformats.org/officeDocument/2006/relationships/hyperlink" Target="https://www.sec.gov/Archives/edgar/data/2006815/000182912625002874/voyageracq_ex10-2.htm" TargetMode="External"/><Relationship Id="rId136" Type="http://schemas.openxmlformats.org/officeDocument/2006/relationships/hyperlink" Target="https://www.sec.gov/Archives/edgar/data/2006815/000182912626000900/voyageracq_ex10-1.htm" TargetMode="External"/><Relationship Id="rId137" Type="http://schemas.openxmlformats.org/officeDocument/2006/relationships/hyperlink" Target="https://www.sec.gov/Archives/edgar/data/2006815/000182912625002874/voyageracq_ex10-1.htm" TargetMode="External"/><Relationship Id="rId138" Type="http://schemas.openxmlformats.org/officeDocument/2006/relationships/hyperlink" Target="https://www.sec.gov/Archives/edgar/data/2006815/000182912626001295/veraxabiotech_ex10-22.htm" TargetMode="External"/><Relationship Id="rId139" Type="http://schemas.openxmlformats.org/officeDocument/2006/relationships/hyperlink" Target="https://www.sec.gov/Archives/edgar/data/2006815/000182912626005814/voyageracq_ex10-1.htm" TargetMode="External"/><Relationship Id="rId140" Type="http://schemas.openxmlformats.org/officeDocument/2006/relationships/hyperlink" Target="https://www.sec.gov/Archives/edgar/data/2006815/000182912626005814/voyageracq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2026-06-16T15:38:29Z</dcterms:created>
  <dcterms:modified xsi:type="dcterms:W3CDTF">2026-06-16T15:38:29Z</dcterms:modified>
</cp:coreProperties>
</file>