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Antz Christoph Rudiger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TALACKER 35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ZURICH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SWITZERLAND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Veraxa Biotech AG - Post de-SPAC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VRXA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3"/>
        <w:gridCol w:w="902"/>
        <w:gridCol w:w="771"/>
        <w:gridCol w:w="599"/>
        <w:gridCol w:w="352"/>
        <w:gridCol w:w="858"/>
        <w:gridCol w:w="465"/>
        <w:gridCol w:w="678"/>
        <w:gridCol w:w="1180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1.53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 Antz, Chief Executive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3284" TargetMode="External"/><Relationship Id="rId5" Type="http://schemas.openxmlformats.org/officeDocument/2006/relationships/hyperlink" Target="http://www.sec.gov/cgi-bin/browse-edgar?action=getcompany&amp;CIK=00020791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3101</Characters>
  <CharactersWithSpaces>3602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