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July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Veraxa Biotech AG (the “Company”) issued a notice for an Extraordinary General Meeting of Shareholders to be held on July 24, 2026 (the “Meeting”). The Company has fixed July 20, 2026 as the record date for determination of persons entitled to receive notice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notice is attached as Exhibit 99.1 to this report on Form 6-K and is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Cell Line Development for BiTAC-TCE Technology Platform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2026, the Company issued a press release announcing the initiation of cell line development for its lead BiTAC T-cell engager (“BiTAC-TCE”)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99.2 to this report on Form 6-K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and Further Details on Partnering Strategy and Development Timelines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details of its partnering strategy and development timelines.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as Exhibit 99.3 to this report on Form 6-K and is incorporated by reference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385" w:type="dxa"/>
        <w:jc w:val="left"/>
        <w:tblInd w:w="0" w:type="dxa"/>
        <w:tblLayout w:type="fixed"/>
        <w:tblCellMar>
          <w:top w:w="0" w:type="dxa"/>
          <w:left w:w="0" w:type="dxa"/>
          <w:bottom w:w="28" w:type="dxa"/>
          <w:right w:w="0" w:type="dxa"/>
        </w:tblCellMar>
      </w:tblPr>
      <w:tblGrid>
        <w:gridCol w:w="665"/>
        <w:gridCol w:w="60"/>
        <w:gridCol w:w="2660"/>
      </w:tblGrid>
      <w:tr>
        <w:trPr/>
        <w:tc>
          <w:tcPr>
            <w:tcW w:w="6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Notice of Meeting</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60" w:type="dxa"/>
            <w:tcBorders/>
            <w:tcMar>
              <w:bottom w:w="0" w:type="dxa"/>
            </w:tcMar>
            <w:vAlign w:val="center"/>
          </w:tcPr>
          <w:p>
            <w:pPr>
              <w:pStyle w:val="TableContents"/>
              <w:bidi w:val="0"/>
              <w:spacing w:before="0" w:after="283"/>
              <w:jc w:val="both"/>
              <w:rPr/>
            </w:pPr>
            <w:hyperlink w:anchor="veraxabiotechag_ex99-2.htm">
              <w:r>
                <w:rPr>
                  <w:rStyle w:val="InternetLink"/>
                  <w:rFonts w:ascii="Times New Roman;Times;Serif" w:hAnsi="Times New Roman;Times;Serif"/>
                  <w:b w:val="false"/>
                  <w:i w:val="false"/>
                  <w:caps w:val="false"/>
                  <w:smallCaps w:val="false"/>
                  <w:sz w:val="20"/>
                </w:rPr>
                <w:t>Press Release dated July 2, 2026</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60" w:type="dxa"/>
            <w:tcBorders/>
            <w:shd w:fill="CCEEFF" w:val="clear"/>
            <w:tcMar>
              <w:bottom w:w="0" w:type="dxa"/>
            </w:tcMar>
            <w:vAlign w:val="center"/>
          </w:tcPr>
          <w:p>
            <w:pPr>
              <w:pStyle w:val="TableContents"/>
              <w:bidi w:val="0"/>
              <w:spacing w:before="0" w:after="283"/>
              <w:jc w:val="both"/>
              <w:rPr/>
            </w:pPr>
            <w:hyperlink w:anchor="veraxabiotechag_ex99-3.htm">
              <w:r>
                <w:rPr>
                  <w:rStyle w:val="InternetLink"/>
                  <w:rFonts w:ascii="Times New Roman;Times;Serif" w:hAnsi="Times New Roman;Times;Serif"/>
                  <w:b w:val="false"/>
                  <w:i w:val="false"/>
                  <w:caps w:val="false"/>
                  <w:smallCaps w:val="false"/>
                  <w:sz w:val="20"/>
                </w:rPr>
                <w:t>Press Release dated July 6,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1775"/>
        <w:gridCol w:w="650"/>
        <w:gridCol w:w="1955"/>
      </w:tblGrid>
      <w:tr>
        <w:trPr/>
        <w:tc>
          <w:tcPr>
            <w:tcW w:w="17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17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Date: July 6, 2026</w:t>
            </w:r>
          </w:p>
        </w:tc>
        <w:tc>
          <w:tcPr>
            <w:tcW w:w="65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Christoph Antz</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17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650"/>
        <w:gridCol w:w="28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Oliver Baumann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87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Oliver Baumann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87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ind w:left="720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Anzahl Aktien / Total shares:</w:t>
      </w:r>
    </w:p>
    <w:p>
      <w:pPr>
        <w:pStyle w:val="TextBody"/>
        <w:bidi w:val="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545"/>
        <w:gridCol w:w="770"/>
        <w:gridCol w:w="2645"/>
        <w:gridCol w:w="75"/>
      </w:tblGrid>
      <w:tr>
        <w:trPr/>
        <w:tc>
          <w:tcPr>
            <w:tcW w:w="545" w:type="dxa"/>
            <w:tcBorders/>
            <w:vAlign w:val="center"/>
          </w:tcPr>
          <w:p>
            <w:pPr>
              <w:pStyle w:val="TableContents"/>
              <w:bidi w:val="0"/>
              <w:spacing w:before="0" w:after="283"/>
              <w:ind w:left="0" w:right="0" w:hanging="0"/>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645" w:type="dxa"/>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A</w:t>
            </w:r>
            <w:r>
              <w:rPr>
                <w:rFonts w:ascii="Times New Roman;Times;Serif" w:hAnsi="Times New Roman;Times;Serif"/>
                <w:b/>
                <w:i w:val="false"/>
                <w:caps w:val="false"/>
                <w:smallCaps w:val="false"/>
                <w:sz w:val="20"/>
              </w:rPr>
              <w:t>-PRIORITY      </w:t>
            </w:r>
            <w:r>
              <w:rPr>
                <w:rFonts w:ascii="Times New Roman;Times;Serif" w:hAnsi="Times New Roman;Times;Serif"/>
                <w:b w:val="false"/>
                <w:i w:val="false"/>
                <w:caps w:val="false"/>
                <w:smallCaps w:val="false"/>
                <w:sz w:val="20"/>
              </w:rPr>
              <w:t>Post CH AG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Talacker 35</w:t>
            </w:r>
          </w:p>
        </w:tc>
        <w:tc>
          <w:tcPr>
            <w:tcW w:w="75" w:type="dxa"/>
            <w:tcBorders/>
            <w:vAlign w:val="center"/>
          </w:tcPr>
          <w:p>
            <w:pPr>
              <w:pStyle w:val="TableContents"/>
              <w:bidi w:val="0"/>
              <w:spacing w:before="0" w:after="283"/>
              <w:jc w:val="left"/>
              <w:rPr>
                <w:sz w:val="4"/>
                <w:szCs w:val="4"/>
              </w:rPr>
            </w:pPr>
            <w:r>
              <w:rPr>
                <w:sz w:val="4"/>
                <w:szCs w:val="4"/>
              </w:rPr>
            </w:r>
          </w:p>
        </w:tc>
      </w:tr>
      <w:tr>
        <w:trPr/>
        <w:tc>
          <w:tcPr>
            <w:tcW w:w="545" w:type="dxa"/>
            <w:vMerge w:val="restart"/>
            <w:tcBorders>
              <w:top w:val="single" w:sz="8" w:space="0" w:color="000000"/>
              <w:left w:val="single" w:sz="8" w:space="0" w:color="000000"/>
              <w:bottom w:val="single" w:sz="8" w:space="0" w:color="000000"/>
            </w:tcBorders>
            <w:tcMar>
              <w:top w:w="60" w:type="dxa"/>
              <w:left w:w="60" w:type="dxa"/>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P.P.</w:t>
            </w:r>
          </w:p>
        </w:tc>
        <w:tc>
          <w:tcPr>
            <w:tcW w:w="770" w:type="dxa"/>
            <w:tcBorders>
              <w:top w:val="single" w:sz="8" w:space="0" w:color="000000"/>
              <w:right w:val="single" w:sz="8" w:space="0" w:color="000000"/>
            </w:tcBorders>
            <w:tcMar>
              <w:top w:w="60" w:type="dxa"/>
              <w:righ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CH-8001</w:t>
            </w:r>
          </w:p>
        </w:tc>
        <w:tc>
          <w:tcPr>
            <w:tcW w:w="264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vMerge w:val="continue"/>
            <w:tcBorders>
              <w:top w:val="single" w:sz="8" w:space="0" w:color="000000"/>
              <w:left w:val="single" w:sz="8" w:space="0" w:color="000000"/>
              <w:bottom w:val="single" w:sz="8" w:space="0" w:color="000000"/>
            </w:tcBorders>
            <w:tcMar>
              <w:top w:w="60" w:type="dxa"/>
              <w:left w:w="60" w:type="dxa"/>
              <w:bottom w:w="28" w:type="dxa"/>
            </w:tcMar>
            <w:vAlign w:val="center"/>
          </w:tcPr>
          <w:p>
            <w:pPr>
              <w:pStyle w:val="Normal"/>
              <w:bidi w:val="0"/>
              <w:jc w:val="left"/>
              <w:rPr/>
            </w:pPr>
            <w:r>
              <w:rPr/>
            </w:r>
          </w:p>
        </w:tc>
        <w:tc>
          <w:tcPr>
            <w:tcW w:w="770" w:type="dxa"/>
            <w:tcBorders>
              <w:bottom w:val="single" w:sz="8" w:space="0" w:color="000000"/>
              <w:right w:val="single" w:sz="8" w:space="0" w:color="000000"/>
            </w:tcBorders>
            <w:tcMar>
              <w:bottom w:w="28" w:type="dxa"/>
              <w:right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Zürich</w:t>
            </w:r>
          </w:p>
        </w:tc>
        <w:tc>
          <w:tcPr>
            <w:tcW w:w="264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Anmeldung / </w:t>
      </w:r>
      <w:r>
        <w:rPr>
          <w:rFonts w:ascii="Times New Roman;Times;Serif" w:hAnsi="Times New Roman;Times;Serif"/>
          <w:b/>
          <w:i/>
          <w:caps w:val="false"/>
          <w:smallCaps w:val="false"/>
          <w:sz w:val="20"/>
        </w:rPr>
        <w:t>Registration</w:t>
      </w:r>
    </w:p>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für die ausserordentliche Generalversammlung der Veraxa Biotech AG vom 24. Juli 2026</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extraordinary general meeting of shareholders on Friday, 24 July</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Ich nehme an der ausserordentlichen Generalversammlung persönlich teil und weise mich für die Zutrittskontrolle mit einem amtlichen Ausweis (Identitätskarte, Reisepass oder Führerschein) aus.</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will attend the extraordinary general meeting in person and identify myself at the admission control with an official ID document: identity card, passport, or driver’s license</w:t>
      </w:r>
    </w:p>
    <w:p>
      <w:pPr>
        <w:pStyle w:val="TextBody"/>
        <w:bidi w:val="0"/>
        <w:jc w:val="left"/>
        <w:rPr>
          <w:caps w:val="false"/>
          <w:smallCaps w:val="false"/>
        </w:rPr>
      </w:pPr>
      <w:r>
        <w:rPr>
          <w:caps w:val="false"/>
          <w:smallCaps w:val="false"/>
        </w:rPr>
        <w:t> </w:t>
      </w:r>
    </w:p>
    <w:p>
      <w:pPr>
        <w:pStyle w:val="TextBody"/>
        <w:bidi w:val="0"/>
        <w:spacing w:before="0" w:after="6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Ich erteile Vollmacht für meine Stimme an:</w:t>
      </w:r>
    </w:p>
    <w:p>
      <w:pPr>
        <w:pStyle w:val="TextBody"/>
        <w:bidi w:val="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grant power of attorney for my vote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unabhängige Stimmrechtsvertreterin, Maya McNally, McNally GmbH, Rechtsanwälte, Gartenstrasse 25, Postfach, 8027 Zürich, Schweiz</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independent voting rights representative, Maya McNally, McNally GmbH, Attorneys-at-Law, Gartenstrasse 25, P.O. Box, 8027 Zurich, Switzerland</w:t>
      </w:r>
    </w:p>
    <w:p>
      <w:pPr>
        <w:pStyle w:val="TextBody"/>
        <w:bidi w:val="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Wenn Sie keine Weisungen zu den in der Einladung bekannt gegebenen Anträgen und/oder keine allgemeine Weisung erteilen, wird die unabhängige Stimmrechtsvertreterin sich enthalten.</w:t>
      </w:r>
    </w:p>
    <w:p>
      <w:pPr>
        <w:pStyle w:val="TextBody"/>
        <w:bidi w:val="0"/>
        <w:spacing w:before="6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you do not issue any instructions regarding the proposals announced in the invitation and/or do not issue any general instruction, the independent voting rights representative will abstain.</w:t>
      </w:r>
    </w:p>
    <w:p>
      <w:pPr>
        <w:pStyle w:val="TextBody"/>
        <w:bidi w:val="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Die </w:t>
      </w:r>
      <w:r>
        <w:rPr>
          <w:rFonts w:ascii="Times New Roman;Times;Serif" w:hAnsi="Times New Roman;Times;Serif"/>
          <w:b/>
          <w:i w:val="false"/>
          <w:caps w:val="false"/>
          <w:smallCaps w:val="false"/>
          <w:sz w:val="20"/>
        </w:rPr>
        <w:t>Vollmachtserteilung</w:t>
      </w:r>
      <w:r>
        <w:rPr>
          <w:rFonts w:ascii="Times New Roman;Times;Serif" w:hAnsi="Times New Roman;Times;Serif"/>
          <w:b w:val="false"/>
          <w:i w:val="false"/>
          <w:caps w:val="false"/>
          <w:smallCaps w:val="false"/>
          <w:sz w:val="20"/>
        </w:rPr>
        <w:t xml:space="preserve"> und </w:t>
      </w:r>
      <w:r>
        <w:rPr>
          <w:rFonts w:ascii="Times New Roman;Times;Serif" w:hAnsi="Times New Roman;Times;Serif"/>
          <w:b/>
          <w:i w:val="false"/>
          <w:caps w:val="false"/>
          <w:smallCaps w:val="false"/>
          <w:sz w:val="20"/>
        </w:rPr>
        <w:t>Weisungen</w:t>
      </w:r>
      <w:r>
        <w:rPr>
          <w:rFonts w:ascii="Times New Roman;Times;Serif" w:hAnsi="Times New Roman;Times;Serif"/>
          <w:b w:val="false"/>
          <w:i w:val="false"/>
          <w:caps w:val="false"/>
          <w:smallCaps w:val="false"/>
          <w:sz w:val="20"/>
        </w:rPr>
        <w:t xml:space="preserve"> an die unabhängige Stimmrechtsvertreterin können auch elektronisch über die Aktionärsplattform Aequitec erteilt werden. Melden Sie sich mit den Login-Informationen an. Nach der Anmeldung finden Sie alle Anträge und Begleitinformationen zur Generalversammlung unter dem Menüpunkt “Meetings”.</w:t>
      </w:r>
    </w:p>
    <w:p>
      <w:pPr>
        <w:pStyle w:val="TextBody"/>
        <w:bidi w:val="0"/>
        <w:spacing w:before="6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w:t>
      </w:r>
      <w:r>
        <w:rPr>
          <w:rFonts w:ascii="Times New Roman;Times;Serif" w:hAnsi="Times New Roman;Times;Serif"/>
          <w:b/>
          <w:i/>
          <w:caps w:val="false"/>
          <w:smallCaps w:val="false"/>
          <w:sz w:val="20"/>
        </w:rPr>
        <w:t>granting of power of attorney</w:t>
      </w:r>
      <w:r>
        <w:rPr>
          <w:rFonts w:ascii="Times New Roman;Times;Serif" w:hAnsi="Times New Roman;Times;Serif"/>
          <w:b w:val="false"/>
          <w:i/>
          <w:caps w:val="false"/>
          <w:smallCaps w:val="false"/>
          <w:sz w:val="20"/>
        </w:rPr>
        <w:t xml:space="preserve"> and </w:t>
      </w:r>
      <w:r>
        <w:rPr>
          <w:rFonts w:ascii="Times New Roman;Times;Serif" w:hAnsi="Times New Roman;Times;Serif"/>
          <w:b/>
          <w:i/>
          <w:caps w:val="false"/>
          <w:smallCaps w:val="false"/>
          <w:sz w:val="20"/>
        </w:rPr>
        <w:t>instructions</w:t>
      </w:r>
      <w:r>
        <w:rPr>
          <w:rFonts w:ascii="Times New Roman;Times;Serif" w:hAnsi="Times New Roman;Times;Serif"/>
          <w:b w:val="false"/>
          <w:i/>
          <w:caps w:val="false"/>
          <w:smallCaps w:val="false"/>
          <w:sz w:val="20"/>
        </w:rPr>
        <w:t xml:space="preserve"> to the independent voting rights representative may also be submitted electronically via the Aequitec shareholder platform. Log in using your login details. After logging in, you will find all proposals and accompanying information regarding the General Meeting under the menu item “Meetings”.</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014" w:type="dxa"/>
        <w:jc w:val="left"/>
        <w:tblInd w:w="-10" w:type="dxa"/>
        <w:tblLayout w:type="fixed"/>
        <w:tblCellMar>
          <w:top w:w="60" w:type="dxa"/>
          <w:left w:w="60" w:type="dxa"/>
          <w:bottom w:w="0" w:type="dxa"/>
          <w:right w:w="60" w:type="dxa"/>
        </w:tblCellMar>
      </w:tblPr>
      <w:tblGrid>
        <w:gridCol w:w="3143"/>
        <w:gridCol w:w="4871"/>
      </w:tblGrid>
      <w:tr>
        <w:trPr/>
        <w:tc>
          <w:tcPr>
            <w:tcW w:w="8014" w:type="dxa"/>
            <w:gridSpan w:val="2"/>
            <w:tcBorders>
              <w:top w:val="single" w:sz="8" w:space="0" w:color="000000"/>
              <w:left w:val="single" w:sz="8" w:space="0" w:color="000000"/>
              <w:right w:val="single" w:sz="8" w:space="0" w:color="000000"/>
            </w:tcBorders>
            <w:shd w:fill="F5F6F7"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Elektronische Vollmachtserteilung &amp; Weisung via Aktionärsplattform Aequitec:</w:t>
            </w:r>
          </w:p>
        </w:tc>
      </w:tr>
      <w:tr>
        <w:trPr/>
        <w:tc>
          <w:tcPr>
            <w:tcW w:w="8014" w:type="dxa"/>
            <w:gridSpan w:val="2"/>
            <w:tcBorders>
              <w:left w:val="single" w:sz="8" w:space="0" w:color="000000"/>
              <w:right w:val="single" w:sz="8" w:space="0" w:color="000000"/>
            </w:tcBorders>
            <w:shd w:fill="F5F6F7" w:val="clear"/>
            <w:tcMar>
              <w:top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14" w:type="dxa"/>
            <w:gridSpan w:val="2"/>
            <w:tcBorders>
              <w:left w:val="single" w:sz="8" w:space="0" w:color="000000"/>
              <w:right w:val="single" w:sz="8" w:space="0" w:color="000000"/>
            </w:tcBorders>
            <w:shd w:fill="F5F6F7" w:val="clear"/>
            <w:tcMar>
              <w:top w:w="0" w:type="dxa"/>
            </w:tcMar>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Electronic granting of power of attorney and instructions via the Aequitec shareholder platform:</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Website:</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app.aequitec.ch</w:t>
            </w:r>
          </w:p>
        </w:tc>
      </w:tr>
      <w:tr>
        <w:trPr/>
        <w:tc>
          <w:tcPr>
            <w:tcW w:w="3143" w:type="dxa"/>
            <w:tcBorders>
              <w:left w:val="single" w:sz="8" w:space="0" w:color="000000"/>
            </w:tcBorders>
            <w:shd w:fill="F5F6F7" w:val="clear"/>
            <w:tcMar>
              <w:top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Login:</w:t>
            </w:r>
          </w:p>
        </w:tc>
        <w:tc>
          <w:tcPr>
            <w:tcW w:w="4871" w:type="dxa"/>
            <w:tcBorders>
              <w:right w:val="single" w:sz="8" w:space="0" w:color="000000"/>
            </w:tcBorders>
            <w:shd w:fill="F5F6F7" w:val="clear"/>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43" w:type="dxa"/>
            <w:tcBorders>
              <w:left w:val="single" w:sz="8" w:space="0" w:color="000000"/>
              <w:bottom w:val="single" w:sz="8" w:space="0" w:color="000000"/>
            </w:tcBorders>
            <w:shd w:fill="F5F6F7" w:val="clear"/>
            <w:tcMar>
              <w:top w:w="0" w:type="dxa"/>
              <w:bottom w:w="6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Password:</w:t>
            </w:r>
          </w:p>
        </w:tc>
        <w:tc>
          <w:tcPr>
            <w:tcW w:w="4871" w:type="dxa"/>
            <w:tcBorders>
              <w:bottom w:val="single" w:sz="8" w:space="0" w:color="000000"/>
              <w:right w:val="single" w:sz="8" w:space="0" w:color="000000"/>
            </w:tcBorders>
            <w:shd w:fill="F5F6F7" w:val="clear"/>
            <w:tcMar>
              <w:top w:w="0" w:type="dxa"/>
              <w:left w:w="0" w:type="dxa"/>
              <w:bottom w:w="6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folgende Person, die sich für die Zutrittskontrolle mit einem amtlichen Ausweis (Identitätskarte, Reisepass oder Führerschein) ausweist.</w:t>
            </w:r>
          </w:p>
        </w:tc>
      </w:tr>
    </w:tbl>
    <w:p>
      <w:pPr>
        <w:pStyle w:val="TextBody"/>
        <w:bidi w:val="0"/>
        <w:spacing w:before="6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person, who will identify themselves at the admission control with an official ID document: identity card, passport, or driver’s license.</w:t>
      </w:r>
    </w:p>
    <w:p>
      <w:pPr>
        <w:pStyle w:val="TextBody"/>
        <w:bidi w:val="0"/>
        <w:jc w:val="left"/>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05"/>
        <w:gridCol w:w="60"/>
        <w:gridCol w:w="7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und Vorname: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Last name, first name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3770"/>
        <w:gridCol w:w="60"/>
        <w:gridCol w:w="75"/>
      </w:tblGrid>
      <w:tr>
        <w:trPr/>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E-Mail-Adresse der bevollmächtigten Person: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Email address of the authorized person</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220"/>
        <w:gridCol w:w="60"/>
        <w:gridCol w:w="60"/>
        <w:gridCol w:w="2000"/>
        <w:gridCol w:w="60"/>
        <w:gridCol w:w="75"/>
      </w:tblGrid>
      <w:tr>
        <w:trPr/>
        <w:tc>
          <w:tcPr>
            <w:tcW w:w="1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Datum / </w:t>
            </w:r>
            <w:r>
              <w:rPr>
                <w:rFonts w:ascii="Times New Roman;Times;Serif" w:hAnsi="Times New Roman;Times;Serif"/>
                <w:b w:val="false"/>
                <w:i/>
                <w:caps w:val="false"/>
                <w:smallCaps w:val="false"/>
                <w:sz w:val="20"/>
              </w:rPr>
              <w:t>Date</w:t>
            </w:r>
            <w:r>
              <w:rPr>
                <w:rFonts w:ascii="Times New Roman;Times;Serif" w:hAnsi="Times New Roman;Times;Serif"/>
                <w:b w:val="false"/>
                <w:i w:val="false"/>
                <w:caps w:val="false"/>
                <w:smallCaps w:val="false"/>
                <w:sz w:val="20"/>
              </w:rPr>
              <w:t>: </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Unterschrift / </w:t>
            </w:r>
            <w:r>
              <w:rPr>
                <w:rFonts w:ascii="Times New Roman;Times;Serif" w:hAnsi="Times New Roman;Times;Serif"/>
                <w:b w:val="false"/>
                <w:i/>
                <w:caps w:val="false"/>
                <w:smallCaps w:val="false"/>
                <w:sz w:val="20"/>
              </w:rPr>
              <w:t>Signature</w:t>
            </w:r>
            <w:r>
              <w:rPr>
                <w:rFonts w:ascii="Times New Roman;Times;Serif" w:hAnsi="Times New Roman;Times;Serif"/>
                <w:b w:val="false"/>
                <w:i w:val="false"/>
                <w:caps w:val="false"/>
                <w:smallCaps w:val="false"/>
                <w:sz w:val="20"/>
              </w:rPr>
              <w:t>:</w:t>
            </w:r>
          </w:p>
        </w:tc>
        <w:tc>
          <w:tcPr>
            <w:tcW w:w="6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STIMMRECHTSWEISUNGSFORMULAR / VOTING INSTRUCTION FORM</w:t>
      </w:r>
    </w:p>
    <w:p>
      <w:pPr>
        <w:pStyle w:val="TextBody"/>
        <w:bidi w:val="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Einzelweisungen zu in der Einladung bekannt gegebenen Anträgen des Verwaltungs-rates zu den Verhandlungsgegenständen (Traktanden) an den unabhängigen Stimmrechtsvertreter</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instructions to the independent voting rights representative regarding the Board of Directors’ proposals on the agenda items announced in the invitation</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0"/>
        <w:gridCol w:w="60"/>
        <w:gridCol w:w="7230"/>
        <w:gridCol w:w="60"/>
        <w:gridCol w:w="305"/>
        <w:gridCol w:w="60"/>
        <w:gridCol w:w="410"/>
        <w:gridCol w:w="60"/>
        <w:gridCol w:w="980"/>
      </w:tblGrid>
      <w:tr>
        <w:trPr/>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3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Enthaltung</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Abstention</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bedingtes Kapital für Aktionärsoptionen 1 und Änderung von Art. 3a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in Conditional Capital for Shareholder Options 1 and Amendment of Article 3a of the Articles of Association</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28"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Kapitalband und Änderung von Art. 3d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Capital Band and Amendment of Article 3d of the Articles of Association</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040" w:type="dxa"/>
            <w:tcBorders>
              <w:bottom w:val="single" w:sz="8" w:space="0" w:color="000000"/>
            </w:tcBorders>
            <w:tcMar>
              <w:bottom w:w="6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7230" w:type="dxa"/>
            <w:tcBorders>
              <w:bottom w:val="single" w:sz="8" w:space="0" w:color="000000"/>
            </w:tcBorders>
            <w:tcMar>
              <w:bottom w:w="60" w:type="dxa"/>
            </w:tcMar>
            <w:vAlign w:val="center"/>
          </w:tcPr>
          <w:p>
            <w:pPr>
              <w:pStyle w:val="TableContents"/>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Erhöhung Anzahl Mitglieder des Verwaltungsrates und Änderung von Art. 15 der Statuten</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 of Number of Members of the Board of Directors and Amendment of Article 15 of the Articles of Association</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305"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14500" cy="4000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30"/>
        <w:gridCol w:w="177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Allgemeine Weisung</w:t>
            </w:r>
          </w:p>
        </w:tc>
      </w:tr>
      <w:tr>
        <w:trPr/>
        <w:tc>
          <w:tcPr>
            <w:tcW w:w="23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w:t>
            </w:r>
          </w:p>
        </w:tc>
        <w:tc>
          <w:tcPr>
            <w:tcW w:w="177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Directive</w:t>
            </w:r>
          </w:p>
        </w:tc>
      </w:tr>
    </w:tbl>
    <w:p>
      <w:pPr>
        <w:pStyle w:val="TextBody"/>
        <w:bidi w:val="0"/>
        <w:jc w:val="left"/>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Für den Fall, dass an der Generalversammlung über in der Einladung nicht angekündigte Anträge und/oder über neue Verhandlungsgegenstände abgestimmt wird, beauftrage und ermächtige ich den unabhängigen Stimmrechtsvertreter, sich wie folgt zu verhalten</w:t>
      </w:r>
      <w:r>
        <w:rPr>
          <w:rFonts w:ascii="Times New Roman;Times;Serif" w:hAnsi="Times New Roman;Times;Serif"/>
          <w:b w:val="false"/>
          <w:i/>
          <w:caps w:val="false"/>
          <w:smallCaps w:val="false"/>
          <w:sz w:val="20"/>
        </w:rPr>
        <w:t>:</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the event that a resolution is put to a vote at the shareholders’ meeting regarding motions not announced in the notice of meeting and/or new items on the agenda, I hereby instruct and authorize the independent proxy to act as follows:</w:t>
      </w:r>
    </w:p>
    <w:p>
      <w:pPr>
        <w:pStyle w:val="TextBody"/>
        <w:bidi w:val="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230"/>
        <w:gridCol w:w="7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Sinne des Antrags des Verwaltungsrates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accordance with the motion of the Board of Directors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Gegen nicht angekündigte Anträge und Anträge zu neuen Verhandlungsgegenständen</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Against unannounced motions and motions regarding new agenda items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Stimmenthaltung</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Abstention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230"/>
        <w:gridCol w:w="8690"/>
      </w:tblGrid>
      <w:tr>
        <w:trPr/>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à</w:t>
            </w:r>
          </w:p>
        </w:tc>
        <w:tc>
          <w:tcPr>
            <w:tcW w:w="86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Bitte retournieren Sie für die briefliche Abstimmung Seiten 1-3 mit dem beigelegten Rücksendecouvert.</w:t>
            </w:r>
          </w:p>
        </w:tc>
      </w:tr>
    </w:tbl>
    <w:tbl>
      <w:tblPr>
        <w:tblW w:w="6655" w:type="dxa"/>
        <w:jc w:val="left"/>
        <w:tblInd w:w="0" w:type="dxa"/>
        <w:tblLayout w:type="fixed"/>
        <w:tblCellMar>
          <w:top w:w="0" w:type="dxa"/>
          <w:left w:w="0" w:type="dxa"/>
          <w:bottom w:w="0" w:type="dxa"/>
          <w:right w:w="0" w:type="dxa"/>
        </w:tblCellMar>
      </w:tblPr>
      <w:tblGrid>
        <w:gridCol w:w="230"/>
        <w:gridCol w:w="6425"/>
      </w:tblGrid>
      <w:tr>
        <w:trPr/>
        <w:tc>
          <w:tcPr>
            <w:tcW w:w="230" w:type="dxa"/>
            <w:tcBorders/>
            <w:vAlign w:val="center"/>
          </w:tcPr>
          <w:p>
            <w:pPr>
              <w:pStyle w:val="TableContents"/>
              <w:bidi w:val="0"/>
              <w:spacing w:before="0" w:after="283"/>
              <w:jc w:val="left"/>
              <w:rPr>
                <w:rFonts w:ascii="Wingdings" w:hAnsi="Wingdings"/>
                <w:b w:val="false"/>
                <w:i w:val="false"/>
                <w:caps w:val="false"/>
                <w:smallCaps w:val="false"/>
                <w:sz w:val="20"/>
              </w:rPr>
            </w:pPr>
            <w:r>
              <w:rPr>
                <w:rFonts w:ascii="Wingdings" w:hAnsi="Wingdings"/>
                <w:b w:val="false"/>
                <w:i w:val="false"/>
                <w:caps w:val="false"/>
                <w:smallCaps w:val="false"/>
                <w:sz w:val="20"/>
              </w:rPr>
              <w:t>à</w:t>
            </w:r>
          </w:p>
        </w:tc>
        <w:tc>
          <w:tcPr>
            <w:tcW w:w="6425"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postal voting, please return pages 1-3 using the enclosed return envelope.</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Zürich, den 2. Juli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 zur ausserordentlichen Generalversammlung der Aktionäre am Freitag, den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Invitation to the Extraordinary General Meeting of Shareholders on Friday,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Sehr geehrte Aktionärinnen und Aktionäre,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zur ausserordentlichen Generalversammlung der Aktionärinnen und Aktionäre der Veraxa Biotech AG einzuladen.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pleased to invite you to the Extraordinary General Meeting of Shareholders of Veraxa Biotech AG.</w:t>
      </w:r>
    </w:p>
    <w:p>
      <w:pPr>
        <w:pStyle w:val="TextBody"/>
        <w:bidi w:val="0"/>
        <w:spacing w:before="0" w:after="0"/>
        <w:jc w:val="both"/>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1010"/>
        <w:gridCol w:w="5360"/>
      </w:tblGrid>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Datum:</w:t>
            </w:r>
          </w:p>
        </w:tc>
        <w:tc>
          <w:tcPr>
            <w:tcW w:w="5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24. Juli 2026</w:t>
            </w:r>
          </w:p>
        </w:tc>
      </w:tr>
      <w:tr>
        <w:trPr/>
        <w:tc>
          <w:tcPr>
            <w:tcW w:w="10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Date:</w:t>
            </w:r>
          </w:p>
        </w:tc>
        <w:tc>
          <w:tcPr>
            <w:tcW w:w="536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24 July 2026</w:t>
            </w:r>
          </w:p>
        </w:tc>
      </w:tr>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Uhrzeit: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10:00 Uhr </w:t>
            </w:r>
            <w:r>
              <w:rPr>
                <w:rFonts w:ascii="Times New Roman;Times;Serif" w:hAnsi="Times New Roman;Times;Serif"/>
                <w:sz w:val="20"/>
              </w:rPr>
              <w:t>(Einlass ab 09:30 Uhr)</w:t>
            </w:r>
          </w:p>
        </w:tc>
      </w:tr>
      <w:tr>
        <w:trPr/>
        <w:tc>
          <w:tcPr>
            <w:tcW w:w="1010"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Time</w:t>
            </w:r>
          </w:p>
        </w:tc>
        <w:tc>
          <w:tcPr>
            <w:tcW w:w="53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10:00 AM (doors open at 09:30 AM)</w:t>
            </w:r>
          </w:p>
        </w:tc>
      </w:tr>
      <w:tr>
        <w:trPr/>
        <w:tc>
          <w:tcPr>
            <w:tcW w:w="10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Ort / </w:t>
            </w:r>
            <w:r>
              <w:rPr>
                <w:rFonts w:ascii="Times New Roman;Times;Serif" w:hAnsi="Times New Roman;Times;Serif"/>
                <w:b/>
                <w:i/>
                <w:sz w:val="20"/>
              </w:rPr>
              <w:t>Place</w:t>
            </w:r>
            <w:r>
              <w:rPr>
                <w:rFonts w:ascii="Times New Roman;Times;Serif" w:hAnsi="Times New Roman;Times;Serif"/>
                <w:b/>
                <w:sz w:val="20"/>
              </w:rPr>
              <w:t>:</w:t>
            </w:r>
          </w:p>
        </w:tc>
        <w:tc>
          <w:tcPr>
            <w:tcW w:w="5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Walder Wyss AG, Seefeldstrasse 123, 8008 Zürich, Switzerland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p>
      <w:pPr>
        <w:pStyle w:val="TextBody"/>
        <w:bidi w:val="0"/>
        <w:spacing w:before="0" w:after="0"/>
        <w:jc w:val="both"/>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77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bedingtes Kapital für Aktionärsoptionen 1 und Änderung von Art. 3a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Conditional Capital for Shareholder Options 1 and Amendment of Article 3a of the Articles of Association</w:t>
      </w:r>
    </w:p>
    <w:p>
      <w:pPr>
        <w:pStyle w:val="TextBody"/>
        <w:bidi w:val="0"/>
        <w:spacing w:before="0" w:after="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Kapitalband und Änderung von Art. 3d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Increase Capital Band and Amendment of Article 3d of the Articles of Association </w:t>
      </w:r>
    </w:p>
    <w:p>
      <w:pPr>
        <w:pStyle w:val="TextBody"/>
        <w:bidi w:val="0"/>
        <w:spacing w:before="0" w:after="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7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Erhöhung Anzahl Mitglieder des Verwaltungsrates und Änderung von Art. 15 der Statuten</w:t>
            </w:r>
          </w:p>
        </w:tc>
      </w:tr>
    </w:tbl>
    <w:p>
      <w:pPr>
        <w:pStyle w:val="TextBody"/>
        <w:bidi w:val="0"/>
        <w:spacing w:before="6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Increase of Number of Members of the Board of Directors and Amendment of Article 15 of the Articles of Association </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der beantragten Statutenänderungen siehe im Anhang</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Appendix for the text of the proposed amendments to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 Aktionärinnen und Aktionäre werden diejenigen Personen anerkannt, welche per 20. Juli 2026 im elektronischen Aktienbuch der Veraxa Biotech AG eingetragen sind. Die gegenseitige Vertretung von Aktionären ist statthaft. Ein zur Vertretung berufener Aktionär hat eine rechtsgültige Vollmacht seitens des vertretenen Aktionärs mitzubringen. Ein entsprechendes Formular haben wir Ihnen zu dieser Einladung beigelegt. Alternativ können Sie auf der Aktionärsplattform </w:t>
      </w:r>
      <w:r>
        <w:rPr>
          <w:rFonts w:ascii="Times New Roman;Times;Serif" w:hAnsi="Times New Roman;Times;Serif"/>
          <w:b w:val="false"/>
          <w:i w:val="false"/>
          <w:caps w:val="false"/>
          <w:smallCaps w:val="false"/>
          <w:sz w:val="20"/>
          <w:u w:val="single"/>
        </w:rPr>
        <w:t>www.aequitec.ch</w:t>
      </w:r>
      <w:r>
        <w:rPr>
          <w:rFonts w:ascii="Times New Roman;Times;Serif" w:hAnsi="Times New Roman;Times;Serif"/>
          <w:b w:val="false"/>
          <w:i w:val="false"/>
          <w:caps w:val="false"/>
          <w:smallCaps w:val="false"/>
          <w:sz w:val="20"/>
        </w:rPr>
        <w:t xml:space="preserve"> einen unabhängigen Stimmrechtsvertreter mandatieren.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Shareholders are defined as those individuals who are registered in the electronic share register of Veraxa Biotech AG as of 20 July 2026. Shareholders may appoint proxies to represent them. A shareholder appointed as a proxy must present a legally valid power of attorney from the shareholder they are representing. We have enclosed the appropriate form with this invitation. Alternatively, you can appoint an independent proxy on the shareholder platform </w:t>
      </w:r>
      <w:r>
        <w:rPr>
          <w:rFonts w:ascii="Times New Roman;Times;Serif" w:hAnsi="Times New Roman;Times;Serif"/>
          <w:b w:val="false"/>
          <w:i/>
          <w:caps w:val="false"/>
          <w:smallCaps w:val="false"/>
          <w:sz w:val="20"/>
          <w:u w:val="single"/>
        </w:rPr>
        <w:t>www.aequitec.ch.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am 24. Juli 2026 in Zürich begrüssen zu dürfen.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look forward to welcoming you in Zurich on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Freundliche Grüsse</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Kind regards</w:t>
      </w:r>
    </w:p>
    <w:p>
      <w:pPr>
        <w:pStyle w:val="TextBody"/>
        <w:bidi w:val="0"/>
        <w:spacing w:before="0" w:after="0"/>
        <w:jc w:val="left"/>
        <w:rPr>
          <w:caps w:val="false"/>
          <w:smallCaps w:val="false"/>
        </w:rPr>
      </w:pPr>
      <w:r>
        <w:rPr>
          <w:caps w:val="false"/>
          <w:smallCaps w:val="false"/>
        </w:rPr>
        <w:t> </w:t>
      </w:r>
    </w:p>
    <w:tbl>
      <w:tblPr>
        <w:tblW w:w="3020" w:type="dxa"/>
        <w:jc w:val="left"/>
        <w:tblInd w:w="0" w:type="dxa"/>
        <w:tblLayout w:type="fixed"/>
        <w:tblCellMar>
          <w:top w:w="0" w:type="dxa"/>
          <w:left w:w="0" w:type="dxa"/>
          <w:bottom w:w="28" w:type="dxa"/>
          <w:right w:w="0" w:type="dxa"/>
        </w:tblCellMar>
      </w:tblPr>
      <w:tblGrid>
        <w:gridCol w:w="2945"/>
        <w:gridCol w:w="75"/>
      </w:tblGrid>
      <w:tr>
        <w:trPr/>
        <w:tc>
          <w:tcPr>
            <w:tcW w:w="2945" w:type="dxa"/>
            <w:tcBorders>
              <w:bottom w:val="single" w:sz="8" w:space="0" w:color="000000"/>
            </w:tcBorders>
            <w:vAlign w:val="center"/>
          </w:tcPr>
          <w:p>
            <w:pPr>
              <w:pStyle w:val="TableContents"/>
              <w:bidi w:val="0"/>
              <w:spacing w:before="0" w:after="283"/>
              <w:jc w:val="both"/>
              <w:rPr/>
            </w:pPr>
            <w:r>
              <w:rPr/>
              <w:t>/s/ Oliver R. Baumann</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Oliver R. Baumann</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Präsident des Verwaltungsrates</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Chairman of the Board of Directors</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Anhang zur Einladung zur ausserordentlichen Generalversammlung der Aktionäre</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Appendix to Invitation to the Extraordinary General Meeting of Shareholders’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0"/>
        <w:gridCol w:w="60"/>
        <w:gridCol w:w="4385"/>
      </w:tblGrid>
      <w:tr>
        <w:trPr/>
        <w:tc>
          <w:tcPr>
            <w:tcW w:w="5760" w:type="dxa"/>
            <w:tcBorders/>
            <w:vAlign w:val="center"/>
          </w:tcPr>
          <w:p>
            <w:pPr>
              <w:pStyle w:val="TableContents"/>
              <w:bidi w:val="0"/>
              <w:spacing w:before="0" w:after="283"/>
              <w:jc w:val="left"/>
              <w:rPr/>
            </w:pPr>
            <w:r>
              <w:rPr/>
              <w:t>“</w:t>
            </w:r>
            <w:r>
              <w:rPr>
                <w:b/>
              </w:rPr>
              <w:t>Artikel 3a – Bedingtes Aktienkapital für Aktionärsoptionen 1</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b/>
              </w:rPr>
            </w:pPr>
            <w:r>
              <w:rPr>
                <w:b/>
              </w:rPr>
              <w:t>Article 3a – Conditional Capital for Shareholders’ Options 1</w:t>
            </w:r>
          </w:p>
        </w:tc>
      </w:tr>
      <w:tr>
        <w:trPr/>
        <w:tc>
          <w:tcPr>
            <w:tcW w:w="5760" w:type="dxa"/>
            <w:tcBorders/>
            <w:vAlign w:val="center"/>
          </w:tcPr>
          <w:p>
            <w:pPr>
              <w:pStyle w:val="TableContents"/>
              <w:bidi w:val="0"/>
              <w:spacing w:before="0" w:after="283"/>
              <w:jc w:val="left"/>
              <w:rPr/>
            </w:pPr>
            <w:r>
              <w:rPr/>
              <w:t>Das Aktienkapital der Gesellschaft wird im Maximalbetrag von CHF 459’789 + 25/453 erhöht durch Ausgabe von höchstens 52’071’110 vollständig zu liberierenden Namenaktien mit einem Nennwert von je CHF 100/11’325 durch Ausübung von Rechten oder Anwartschaften auf Erwerb von Aktien (Erwerbsrechte), welche: (a) in Verbindung mit Anleihens- oder ähnlichen Instrumenten, einschliesslich Wandel- oder Optionsanleihen, Darlehen oder anderer Finanzierungsinstrumente, der Gesellschaft oder von Konzerngesellschaften (zusammen nachfolgend “aktiengebundene Finanzierungsinstrumente” genannt) eingeräumt oder auferlegt werden; oder (b) an beliebige Personen (seien es Aktionäre oder Dritte) eingeräumt werden (nachfolgend “Warrants” genannt).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share capital of the Company may be increased by up to CHF 459,789 + 25/453 by the issue of up to 52,071,110 fullypaid- up registered shares with a par value of CHF 100/11’325 each by exercising rights or entitlements to acquire shares (acquisition rights), which are: (a) granted or imposed in connection with bonds or similar instruments, including convertible bonds or bonds with warrants, loans or other financing instruments, of the Company or of consolidated subsidiaries (hereinafter collectively the “Equity-Linked Financing Instruments”), or (b) granted to any persons (whether shareholders or third parties) (hereinafter referred to as “Warrants”).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Das Bezugsrecht der Aktionäre ist ausgeschlossen.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Existing shareholders’ subscription rights are excluded.</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Der Verwaltungsrat ist ermächtigt, bei der Ausgabe von aktiengebundenen Finanzierungsinstrumenten und bei Warrants das Vorwegzeichnungsrecht der Aktionäre zu beschränken oder aufzuheben im Zusammenhang mit (a) der Finanzierung (einschliesslich Refinanzierung) des Erwerbs von Unternehmen, Unternehmensteilen, Beteiligungen oder von neuen Investitionsvorhaben der Gesellschaft oder (b) der Emission auf nationalen oder internationalen Kapitalmärkten oder der Ausgabe an einen oder mehrere strategische Investoren oder Finanzinvestoren.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Board of Directors is authorized, when issuing Equity- Linked Financing Instruments and Warrants to restrict or cancel shareholders’ advance subscription rights in connection with (a) the financing (including refinancing) of the acquisition of companies, parts of companies, participations or new investment projects of the Company, or (b) the issue on national or international capital markets or to one or more strategic or financial investors.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Soweit das Vorwegzeichnungsrecht ausgeschlossen ist, sind (i) die aktiengebundenen Finanzierungsinstrumente zu Marktbedingungen zu platzieren, (ii) die Ausübungsfrist der Wandelrechte auf höchstens zwanzig Jahre und jene der Optionsrechte auf höchstens zehn Jahre ab dem Zeitpunkt der Emission (oder einer Neufestsetzung der Bedingungen) anzusetzen und (iii) der Wandel- oder Ausübungspreis oder die Berechnungsmethode eines solchen Preises für die neuen Aktien entsprechend Marktbedingungen und -praxis im Zeitpunkt der Emission der aktiengebundenen Finanzierungsinstrumente, der Neufestsetzung der Bedingungen oder der Ausgabe von neuen Aktien festzulegen.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Insofar as the right of advance subscription is excluded, the following conditions shall apply: (i) the Equity-Linked Financing Instruments are to be placed at market conditions; (ii) the exercise period of the conversion rights is to be set at a maximum of 20 years and that of the option rights at a maximum of 10 years from the date of the issue (or of a re-setting of the terms and conditions); and (iii) the conversion or exercise price or the calculation methodology for such price for the new shares is to be set in line with market conditions and practice prevailing at the time of the issue of the Equity-Linked Financing Instruments, of a resetting of the terms and conditions, or of the new shares.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Die Erwerbsrechte sind mittels schriftlicher Mitteilung an die Gesellschaft oder in einer anderen vom Verwaltungsrat festgelegten Form auszuüben.</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Acquisition Rights shall be exercised by way of written notice to the company or in another form as determined by the board of directors.”</w:t>
            </w:r>
          </w:p>
        </w:tc>
      </w:tr>
      <w:tr>
        <w:trPr/>
        <w:tc>
          <w:tcPr>
            <w:tcW w:w="5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5760" w:type="dxa"/>
            <w:tcBorders/>
            <w:vAlign w:val="center"/>
          </w:tcPr>
          <w:p>
            <w:pPr>
              <w:pStyle w:val="TableContents"/>
              <w:bidi w:val="0"/>
              <w:spacing w:before="0" w:after="283"/>
              <w:jc w:val="left"/>
              <w:rPr/>
            </w:pPr>
            <w:r>
              <w:rPr/>
              <w:t>“</w:t>
            </w:r>
            <w:r>
              <w:rPr>
                <w:b/>
              </w:rPr>
              <w:t>Artikel 3d – Kapitalband</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b/>
              </w:rPr>
            </w:pPr>
            <w:r>
              <w:rPr>
                <w:b/>
              </w:rPr>
              <w:t>Article 3d – Capital Band</w:t>
            </w:r>
          </w:p>
        </w:tc>
      </w:tr>
      <w:tr>
        <w:trPr/>
        <w:tc>
          <w:tcPr>
            <w:tcW w:w="5760" w:type="dxa"/>
            <w:tcBorders/>
            <w:vAlign w:val="center"/>
          </w:tcPr>
          <w:p>
            <w:pPr>
              <w:pStyle w:val="TableContents"/>
              <w:bidi w:val="0"/>
              <w:spacing w:before="0" w:after="283"/>
              <w:jc w:val="left"/>
              <w:rPr/>
            </w:pPr>
            <w:r>
              <w:rPr/>
              <w:t>Der Verwaltungsrat ist ermächtigt, jederzeit bis zum 31. Dezember 2030 das derzeitige Aktienkapital der Gesellschaft durch die Ausgabe von maximal 70’703’906 Namenaktien mit einem Nennwert von je CHF 100/11’325 um nominal maximal CHF 624’317 + 25/453 zu erhöhen, wobei die obere Grenze des Kapitalbands nominal CHF 1’872’951 + 73/453 und die untere Grenze nominal CHF 1’248’634 + 50/453 beträgt. Mehrfache Erhöhungen (auch in Teilbeträgen) im Rahmen des Kapitalbands, der Befristung und der nachfolgenden Bestimmungen sind zulässig.</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The Board of Directors is authorised to increase the current share capital of the Company at any time until 31 December 2030 by a maximum nominal amount of CHF 624,317 + 25/453 by issuing a maximum of 70,703,906 registered shares with a par value of CHF 100/11,325 each (common shares), whereby the upper limit of the capital band is nominally CHF 1’872’951 + 73/453 and the lower limit is nominally CHF 1,248,634 + 50/453. Multiple increases (also in instalments) within the framework of the capital band, the time limit and the following provisions are permitted.</w:t>
            </w:r>
          </w:p>
        </w:tc>
      </w:tr>
    </w:tbl>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0"/>
        <w:gridCol w:w="60"/>
        <w:gridCol w:w="4785"/>
      </w:tblGrid>
      <w:tr>
        <w:trPr/>
        <w:tc>
          <w:tcPr>
            <w:tcW w:w="5360" w:type="dxa"/>
            <w:tcBorders/>
            <w:vAlign w:val="center"/>
          </w:tcPr>
          <w:p>
            <w:pPr>
              <w:pStyle w:val="TableContents"/>
              <w:bidi w:val="0"/>
              <w:spacing w:before="0" w:after="283"/>
              <w:jc w:val="left"/>
              <w:rPr/>
            </w:pPr>
            <w:r>
              <w:rPr/>
              <w:t>Der Verwaltungsrat legt den Ausgabebetrag, die Art der Einlagen, den Zeitpunkt der Ausgabe, die Bedingungen der Bezugsrechtsausübung und den Beginn der Dividendenberechtigung fest. Dabei kann der Verwaltungsrat neue Aktien mittels Festübernahme durch eine Bank oder einen anderen Dritten und anschliessenden Angebots an die bisherigen Aktionäre ausgeben. Der Verwaltungsrat ist ermächtigt, den Handel mit Bezugsrechten zu beschränken oder auszuschliessen. Nicht ausgeübte Bezugsrechte kann der Verwaltungsrat verfallen lassen oder diese bzw. die Aktien, für welche Bezugsrechte eingeräumt, aber nicht ausgeübt werden, zu Marktkonditionen platzieren oder anderweitig im Interesse der Gesellschaft verwenden.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shall determine the amount of share capital to be issued, the type of contribution, the date of issue, the conditions governing the exercise of subscription rights and the commencement of dividend entitlement. The Board of Directors may issue new shares which are underwritten by a bank or other third party and subsequently offered to existing shareholders. The Board of Directors is authorised to restrict or to prohibit trading in the subscription rights to the new shares. In the event of subscription rights not being exercised, the Board of Directors may, at its discretion, either allow such rights to expire worthless, or place them or the shares to which they entitle their holders either at market prices or in some other manner commensurate with the interests of the Company.</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Der Verwaltungsrat ist ermächtigt, die Be-zugsrechte der Aktionäre zu entziehen oder zu beschränken und Bezugsrechte einzelnen Aktionären oder Dritten zuzuweisen: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is authorized to withdraw or limit the subscription rights of shareholders and to allocate subscription rights to individual shareholders or third parties: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 sofern die Aktien für die Übernahme von Unternehmen, Unternehmensteilen oder Beteiligungen oder für die Finanzierung oder Refinanzierung solcher Transaktionen, die Umwandlung von Darlehen oder Wertschriften in Aktien, die Finanzierung von neuen Investitionsvorhaben der Gesellschaft, den Erwerb oder die Finanzierung von Produkten, geistigem Eigentum oder Lizenzen oder die Finanzierung von strategischen Initiativen verwendet werden;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 of the new shares being used to acquire companies, parts thereof or participations, or for the financing or refinancing of such transactions, for the conversion of loans or securities into shares, for the financing of new investment projects undertaken, the acquisition or financing of products, intellectual property or licenses, or the financing of strategic initiatives undertaken by the Company;</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(ii) sofern die Aktien zum Zwecke der Erweiterung des Aktionärskreises im Zusammenhang mit der Kotierung der Aktien an einer Börse, um den Streubesitz zu erhöhen, oder zur Beteiligung von strategischen Partnern verwendet werden;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(ii) of the new shares being used either to extend the shareholder base [in conjunction with the listing of the shares on any stock exchange] to increase the free float or for investment by strategic partners;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(iii) im Fall nationaler oder internationaler (auch privater) Platzierung von Aktien zu Marktkonditionen; oder</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(iii) of the new shares being placed nationally or internationally (including by way of private placement) at market conditions;</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pPr>
            <w:r>
              <w:rPr/>
              <w:t>(iv) sofern die Aktien zum Zwecke einer raschen und flexiblen Beschaffung von Eigenkapital, welche ohne Beschränkung oder Ausschluss des Bezugsrechts nur schwer oder zu schlechteren Bedingungen möglich wäre.</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(iv) the new shares being issued for the for the purpose of raising equity capital in a swift and flexible manner, where such raising of capital would be difficult or would only be possible at less favorable conditions if the subscription rights to the new shares were not restricted or withdrawn.”</w:t>
            </w:r>
          </w:p>
        </w:tc>
      </w:tr>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 </w:t>
            </w:r>
          </w:p>
        </w:tc>
      </w:tr>
      <w:tr>
        <w:trPr/>
        <w:tc>
          <w:tcPr>
            <w:tcW w:w="5360" w:type="dxa"/>
            <w:tcBorders/>
            <w:vAlign w:val="center"/>
          </w:tcPr>
          <w:p>
            <w:pPr>
              <w:pStyle w:val="TableContents"/>
              <w:bidi w:val="0"/>
              <w:spacing w:before="0" w:after="283"/>
              <w:jc w:val="left"/>
              <w:rPr>
                <w:b/>
                <w:i/>
              </w:rPr>
            </w:pPr>
            <w:r>
              <w:rPr>
                <w:b/>
                <w:i/>
              </w:rPr>
              <w:t>Art. 15 Abs. 1:</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b/>
                <w:i/>
              </w:rPr>
            </w:pPr>
            <w:r>
              <w:rPr>
                <w:b/>
                <w:i/>
              </w:rPr>
              <w:t>Art. 15 para. 1:</w:t>
            </w:r>
          </w:p>
        </w:tc>
      </w:tr>
      <w:tr>
        <w:trPr/>
        <w:tc>
          <w:tcPr>
            <w:tcW w:w="5360" w:type="dxa"/>
            <w:tcBorders/>
            <w:vAlign w:val="center"/>
          </w:tcPr>
          <w:p>
            <w:pPr>
              <w:pStyle w:val="TableContents"/>
              <w:bidi w:val="0"/>
              <w:spacing w:before="0" w:after="283"/>
              <w:jc w:val="left"/>
              <w:rPr/>
            </w:pPr>
            <w:r>
              <w:rPr/>
              <w:t>“</w:t>
            </w:r>
            <w:r>
              <w:rPr/>
              <w:t>Der Verwaltungsrat besteht aus bis zu sieben Mitgliedern.</w:t>
            </w:r>
          </w:p>
        </w:tc>
        <w:tc>
          <w:tcPr>
            <w:tcW w:w="60" w:type="dxa"/>
            <w:tcBorders/>
            <w:vAlign w:val="center"/>
          </w:tcPr>
          <w:p>
            <w:pPr>
              <w:pStyle w:val="TableContents"/>
              <w:bidi w:val="0"/>
              <w:spacing w:before="0" w:after="283"/>
              <w:jc w:val="left"/>
              <w:rPr/>
            </w:pPr>
            <w:r>
              <w:rPr/>
              <w:t> </w:t>
            </w:r>
          </w:p>
        </w:tc>
        <w:tc>
          <w:tcPr>
            <w:tcW w:w="4785" w:type="dxa"/>
            <w:tcBorders/>
            <w:vAlign w:val="center"/>
          </w:tcPr>
          <w:p>
            <w:pPr>
              <w:pStyle w:val="TableContents"/>
              <w:bidi w:val="0"/>
              <w:spacing w:before="0" w:after="283"/>
              <w:jc w:val="both"/>
              <w:rPr/>
            </w:pPr>
            <w:r>
              <w:rPr/>
              <w:t>The Board of Directors shall consist of up to seven members.”</w:t>
            </w:r>
          </w:p>
        </w:tc>
      </w:tr>
    </w:tbl>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Organisatorische Hinweise / </w:t>
      </w:r>
      <w:r>
        <w:rPr>
          <w:rFonts w:ascii="Times New Roman;Times;Serif" w:hAnsi="Times New Roman;Times;Serif"/>
          <w:b/>
          <w:i/>
          <w:caps w:val="false"/>
          <w:smallCaps w:val="false"/>
          <w:sz w:val="20"/>
          <w:bdr w:val="single" w:sz="8" w:space="5" w:color="000000"/>
        </w:rPr>
        <w:t>Organizational Information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Anmeldung / </w:t>
      </w:r>
      <w:r>
        <w:rPr>
          <w:rFonts w:ascii="Times New Roman;Times;Serif" w:hAnsi="Times New Roman;Times;Serif"/>
          <w:b/>
          <w:i/>
          <w:caps w:val="false"/>
          <w:smallCaps w:val="false"/>
          <w:sz w:val="20"/>
          <w:bdr w:val="single" w:sz="8" w:space="5" w:color="000000"/>
        </w:rPr>
        <w:t>Registration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Bitte verwenden Sie das beiliegende Stimmrechtsweisungsformular oder die elektronische Übermittlung auf der Aktionärsplattform </w:t>
      </w:r>
      <w:r>
        <w:rPr>
          <w:rFonts w:ascii="Times New Roman;Times;Serif" w:hAnsi="Times New Roman;Times;Serif"/>
          <w:b w:val="false"/>
          <w:i w:val="false"/>
          <w:caps w:val="false"/>
          <w:smallCaps w:val="false"/>
          <w:sz w:val="20"/>
          <w:u w:val="single"/>
          <w:bdr w:val="single" w:sz="8" w:space="5" w:color="000000"/>
        </w:rPr>
        <w:t>app.aequitec.ch</w:t>
      </w:r>
      <w:r>
        <w:rPr>
          <w:rFonts w:ascii="Times New Roman;Times;Serif" w:hAnsi="Times New Roman;Times;Serif"/>
          <w:b w:val="false"/>
          <w:i w:val="false"/>
          <w:caps w:val="false"/>
          <w:smallCaps w:val="false"/>
          <w:sz w:val="20"/>
          <w:bdr w:val="single" w:sz="8" w:space="5" w:color="000000"/>
        </w:rPr>
        <w:t xml:space="preserve">, um Ihre Stimmrechtsweisung zu übermitteln. Ihre Login-Daten für die Aktionärsplattform finden Sie auf Ihrem Anschreiben. Dieses Anschreiben dient ebenfalls als Zutrittskarte für die Einlasskontrolle zur physischen Generalversammlung. Für technische Fragen finden Sie weiterführende Informationen und eine Schritt für Schritt Anleitung auf </w:t>
      </w:r>
      <w:r>
        <w:rPr>
          <w:rFonts w:ascii="Times New Roman;Times;Serif" w:hAnsi="Times New Roman;Times;Serif"/>
          <w:b w:val="false"/>
          <w:i w:val="false"/>
          <w:caps w:val="false"/>
          <w:smallCaps w:val="false"/>
          <w:sz w:val="20"/>
          <w:u w:val="single"/>
          <w:bdr w:val="single" w:sz="8" w:space="5" w:color="000000"/>
        </w:rPr>
        <w:t>help.aequitec.com</w:t>
      </w:r>
      <w:r>
        <w:rPr>
          <w:rFonts w:ascii="Times New Roman;Times;Serif" w:hAnsi="Times New Roman;Times;Serif"/>
          <w:b w:val="false"/>
          <w:i w:val="false"/>
          <w:caps w:val="false"/>
          <w:smallCaps w:val="false"/>
          <w:sz w:val="20"/>
          <w:bdr w:val="single" w:sz="8" w:space="5" w:color="000000"/>
        </w:rPr>
        <w:t xml:space="preserve">. Alternativ kontaktieren sie bitte das Aequitec Team via </w:t>
      </w:r>
      <w:r>
        <w:rPr>
          <w:rFonts w:ascii="Times New Roman;Times;Serif" w:hAnsi="Times New Roman;Times;Serif"/>
          <w:b w:val="false"/>
          <w:i w:val="false"/>
          <w:caps w:val="false"/>
          <w:smallCaps w:val="false"/>
          <w:sz w:val="20"/>
          <w:u w:val="single"/>
          <w:bdr w:val="single" w:sz="8" w:space="5" w:color="000000"/>
        </w:rPr>
        <w:t>support@aequitec.com</w:t>
      </w:r>
      <w:r>
        <w:rPr>
          <w:rFonts w:ascii="Times New Roman;Times;Serif" w:hAnsi="Times New Roman;Times;Serif"/>
          <w:b w:val="false"/>
          <w:i w:val="false"/>
          <w:caps w:val="false"/>
          <w:smallCaps w:val="false"/>
          <w:sz w:val="20"/>
          <w:bdr w:val="single" w:sz="8" w:space="5" w:color="000000"/>
        </w:rPr>
        <w: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Please use the enclosed voting instruction form or the electronic submission option on the shareholder platform app.aequitec.ch to submit your voting instructions. Your login details for the shareholder platform can be found in your cover letter. This cover letter also serves as your admission ticket for the entrance control at the physical General Meeting. For technical questions, further information and step-by-step instructions are available at help.aequitec.com. Alternatively, please contact the Aequitec team at support@aequitec.com.</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Vertretung und Stimmabgabe / </w:t>
      </w:r>
      <w:r>
        <w:rPr>
          <w:rFonts w:ascii="Times New Roman;Times;Serif" w:hAnsi="Times New Roman;Times;Serif"/>
          <w:b/>
          <w:i/>
          <w:caps w:val="false"/>
          <w:smallCaps w:val="false"/>
          <w:sz w:val="20"/>
          <w:bdr w:val="single" w:sz="8" w:space="5" w:color="000000"/>
        </w:rPr>
        <w:t>Representation and Voting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Die Vollmachtserteilung an eine Drittperson erfolgt durch Benutzung des beigefügten Stimmrechtsweisungsformulars elektronisch via </w:t>
      </w:r>
      <w:r>
        <w:rPr>
          <w:rFonts w:ascii="Times New Roman;Times;Serif" w:hAnsi="Times New Roman;Times;Serif"/>
          <w:b w:val="false"/>
          <w:i w:val="false"/>
          <w:caps w:val="false"/>
          <w:smallCaps w:val="false"/>
          <w:sz w:val="20"/>
          <w:u w:val="single"/>
          <w:bdr w:val="single" w:sz="8" w:space="5" w:color="000000"/>
        </w:rPr>
        <w:t>app.aequitec.ch</w:t>
      </w:r>
      <w:r>
        <w:rPr>
          <w:rFonts w:ascii="Times New Roman;Times;Serif" w:hAnsi="Times New Roman;Times;Serif"/>
          <w:b w:val="false"/>
          <w:i w:val="false"/>
          <w:caps w:val="false"/>
          <w:smallCaps w:val="false"/>
          <w:sz w:val="20"/>
          <w:bdr w:val="single" w:sz="8" w:space="5" w:color="000000"/>
        </w:rPr>
        <w:t xml:space="preserve"> oder postalisch an Iten McNally GmbH Rechtsanwälte, Gartenstrasse 25, Postfach, 8027 Zürich, Schweiz oder per E-Mail an </w:t>
      </w:r>
      <w:r>
        <w:rPr>
          <w:rFonts w:ascii="Times New Roman;Times;Serif" w:hAnsi="Times New Roman;Times;Serif"/>
          <w:b w:val="false"/>
          <w:i w:val="false"/>
          <w:caps w:val="false"/>
          <w:smallCaps w:val="false"/>
          <w:sz w:val="20"/>
          <w:u w:val="single"/>
          <w:bdr w:val="single" w:sz="8" w:space="5" w:color="000000"/>
        </w:rPr>
        <w:t>maya.mcnally@itenmcnally.com</w:t>
      </w:r>
      <w:r>
        <w:rPr>
          <w:rFonts w:ascii="Times New Roman;Times;Serif" w:hAnsi="Times New Roman;Times;Serif"/>
          <w:b w:val="false"/>
          <w:i w:val="false"/>
          <w:caps w:val="false"/>
          <w:smallCaps w:val="false"/>
          <w:sz w:val="20"/>
          <w:bdr w:val="single" w:sz="8" w:space="5" w:color="000000"/>
        </w:rPr>
        <w: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Power of attorney may be granted to a third party by using the enclosed voting instruction form, electronically via app.aequitec.ch, by post to Iten McNally GmbH Attorneys-at-Law, Gartenstrasse 25, P.O. Box, 8027 Zurich, Switzerland, or by email to maya.mcnally@itenmcnally.com.</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Die Bevollmächtigung und Instruktion der unabhängigen Stimmrechtsvertreterin erfolgt somit entweder</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durch Benutzung des beigefügten Stimmrechtsweisungsformulars und Retournierung an Iten McNally GmbH Rechtsanwälte, Gartenstrasse 25, Postfach, 8027 Zürich, Schweiz oder per E-Mail an </w:t>
            </w:r>
            <w:r>
              <w:rPr>
                <w:rFonts w:ascii="Times New Roman;Times;Serif" w:hAnsi="Times New Roman;Times;Serif"/>
                <w:b w:val="false"/>
                <w:i w:val="false"/>
                <w:caps w:val="false"/>
                <w:smallCaps w:val="false"/>
                <w:sz w:val="20"/>
                <w:u w:val="single"/>
              </w:rPr>
              <w:t>maya.mcnally@itenmcnally.com</w:t>
            </w:r>
            <w:r>
              <w:rPr>
                <w:rFonts w:ascii="Times New Roman;Times;Serif" w:hAnsi="Times New Roman;Times;Serif"/>
                <w:b w:val="false"/>
                <w:i w:val="false"/>
                <w:caps w:val="false"/>
                <w:smallCaps w:val="false"/>
                <w:sz w:val="20"/>
              </w:rPr>
              <w:t xml:space="preserve"> oder</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auf dem elektronischen Weg über </w:t>
            </w:r>
            <w:r>
              <w:rPr>
                <w:rFonts w:ascii="Times New Roman;Times;Serif" w:hAnsi="Times New Roman;Times;Serif"/>
                <w:b w:val="false"/>
                <w:i w:val="false"/>
                <w:caps w:val="false"/>
                <w:smallCaps w:val="false"/>
                <w:sz w:val="20"/>
                <w:u w:val="single"/>
              </w:rPr>
              <w:t>app.aequitec.ch</w:t>
            </w:r>
            <w:r>
              <w:rPr>
                <w:rFonts w:ascii="Times New Roman;Times;Serif" w:hAnsi="Times New Roman;Times;Serif"/>
                <w:b w:val="false"/>
                <w:i w:val="false"/>
                <w:caps w:val="false"/>
                <w:smallCaps w:val="false"/>
                <w:sz w:val="20"/>
              </w:rPr>
              <w:t>. Ihre Login-Daten finden Sie auf ihrem Anschreiben. Melden Sie sich mit den Login-Informationen an. Nach der Anmeldung finden Sie alle Anträge und Begleitinformationen zur Generalversammlung unter dem Menüpunkt “Meetings”. Änderungen der elektronisch erteilten Weisungen sind bis zum 20. Juli 2026 um 23:59 Uhr MEZ möglich.</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The authorization and instruction of the independent voting rights representative may therefore be carried out either:</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w:t>
            </w:r>
          </w:p>
        </w:tc>
        <w:tc>
          <w:tcPr>
            <w:tcW w:w="10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by using the enclosed voting instruction form and returning it to Iten McNally GmbH Attorneys-at-Law, Gartenstrasse 25, P.O. Box, 8027 Zurich, Switzerland, or by email to maya.mcnally@itenmcnally.com; or </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electronically via app.aequitec.ch. Your login details can be found in your cover letter. Log in using your login details. After logging in, you will find all proposals and accompanying information regarding the General Meeting under the menu item “Meetings”. Changes to instructions submitted electronically are possible until 20 July 2026 at 23:59 CET. </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right"/>
        <w:rPr>
          <w:caps w:val="false"/>
          <w:smallCaps w:val="false"/>
        </w:rPr>
      </w:pPr>
      <w:r>
        <w:rPr>
          <w:caps w:val="false"/>
          <w:smallCaps w:val="false"/>
        </w:rPr>
        <w:drawing>
          <wp:inline distT="0" distB="0" distL="0" distR="0">
            <wp:extent cx="1714500" cy="4000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Stimmabgabe bei persönlicher Teilnahme / </w:t>
      </w:r>
      <w:r>
        <w:rPr>
          <w:rFonts w:ascii="Times New Roman;Times;Serif" w:hAnsi="Times New Roman;Times;Serif"/>
          <w:b/>
          <w:i/>
          <w:caps w:val="false"/>
          <w:smallCaps w:val="false"/>
          <w:sz w:val="20"/>
          <w:bdr w:val="single" w:sz="8" w:space="5" w:color="000000"/>
        </w:rPr>
        <w:t>Voting in Case of Personal Attendance</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Bitte weisen sie sich bei der Einlasskontrolle mit ihrem Anschreiben, welches als Zutrittskarte dient, und einem gültigen Legitimationsdokument (Reisepass, Schweizer ID oder Personalausweis) aus. Im Rahmen der Einlasskontrolle erhalten sie dann ein Abstimmungsgerät, welche bereits ihre Aktienstimmen einprogrammiert hat.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Please identify yourself at the entrance control with your cover letter, which serves as your admission ticket, and a valid identification document: passport, Swiss identity card, or personal ID card. As part of the entrance control, you will then receive a voting device on which your share votes have already been programmed.</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Stimmberechtigung / </w:t>
      </w:r>
      <w:r>
        <w:rPr>
          <w:rFonts w:ascii="Times New Roman;Times;Serif" w:hAnsi="Times New Roman;Times;Serif"/>
          <w:b/>
          <w:i/>
          <w:caps w:val="false"/>
          <w:smallCaps w:val="false"/>
          <w:sz w:val="20"/>
          <w:bdr w:val="single" w:sz="8" w:space="5" w:color="000000"/>
        </w:rPr>
        <w:t>Voting Rights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Als stimmberechtigte Aktionärinnen und Aktionäre werden diejenigen Personen anerkannt, die per 20. Juli 2026 im elektronischen Aktienbuch der Gesellschaft eingetragen sind. Am 2. Juli 2026 eingetragene stimmberechtigte Aktionäre erhalten automatisch eine Einladung zur Generalversammlung.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Persons recognized as shareholders entitled to vote are those who are entered in the company’s electronic share register as of July 20, 2026. Shareholders entitled to vote who are registered as of July 2, 2026 will automatically receive an invitation to the General Meeting.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NOTE: </w:t>
      </w:r>
      <w:r>
        <w:rPr>
          <w:rFonts w:ascii="Times New Roman;Times;Serif" w:hAnsi="Times New Roman;Times;Serif"/>
          <w:b w:val="false"/>
          <w:i/>
          <w:caps w:val="false"/>
          <w:smallCaps w:val="false"/>
          <w:sz w:val="20"/>
        </w:rPr>
        <w:t>All English text is provided solely as a translation of the German original. In case of doubt, the German version shall prevail.</w:t>
      </w:r>
    </w:p>
    <w:p>
      <w:pPr>
        <w:pStyle w:val="TextBody"/>
        <w:bidi w:val="0"/>
        <w:spacing w:before="0" w:after="0"/>
        <w:jc w:val="both"/>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Arial;Helvetica;Sans-Serif" w:hAnsi="Arial;Helvetica;Sans-Serif"/>
          <w:b w:val="false"/>
          <w:i w:val="false"/>
          <w:caps w:val="false"/>
          <w:smallCaps w:val="false"/>
          <w:sz w:val="16"/>
          <w:bdr w:val="single" w:sz="16" w:space="1" w:color="000000"/>
        </w:rPr>
      </w:pPr>
      <w:r>
        <w:rPr>
          <w:rFonts w:ascii="Arial;Helvetica;Sans-Serif" w:hAnsi="Arial;Helvetica;Sans-Serif"/>
          <w:b w:val="false"/>
          <w:i w:val="false"/>
          <w:caps w:val="false"/>
          <w:smallCaps w:val="false"/>
          <w:sz w:val="16"/>
          <w:bdr w:val="single" w:sz="16" w:space="1" w:color="000000"/>
        </w:rPr>
        <w:t>Veraxa Biotech AG, Talacker 35, 8001 Zürich, Schweiz. Tel. +41 44 385 84 60,</w:t>
        <w:br/>
        <w:t>info@veraxa.com, www.veraxa.com, HR Zürich CHE-441.201.868</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3048000" cy="3619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048000" cy="3619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Rubrik:</w:t>
      </w:r>
      <w:r>
        <w:rPr>
          <w:rFonts w:ascii="Times New Roman;Times;Serif" w:hAnsi="Times New Roman;Times;Serif"/>
          <w:b w:val="false"/>
          <w:i w:val="false"/>
          <w:caps w:val="false"/>
          <w:smallCaps w:val="false"/>
          <w:sz w:val="20"/>
        </w:rPr>
        <w:t xml:space="preserve"> Mitteilungen an Gesellschafter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Unterrubrik:</w:t>
      </w:r>
      <w:r>
        <w:rPr>
          <w:rFonts w:ascii="Times New Roman;Times;Serif" w:hAnsi="Times New Roman;Times;Serif"/>
          <w:b w:val="false"/>
          <w:i w:val="false"/>
          <w:caps w:val="false"/>
          <w:smallCaps w:val="false"/>
          <w:sz w:val="20"/>
        </w:rPr>
        <w:t xml:space="preserve"> Einladung zur Generalversammlung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Publikationsdatum:</w:t>
      </w:r>
      <w:r>
        <w:rPr>
          <w:rFonts w:ascii="Times New Roman;Times;Serif" w:hAnsi="Times New Roman;Times;Serif"/>
          <w:b w:val="false"/>
          <w:i w:val="false"/>
          <w:caps w:val="false"/>
          <w:smallCaps w:val="false"/>
          <w:sz w:val="20"/>
        </w:rPr>
        <w:t xml:space="preserve"> SHAB 02.07.2026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Öffentlich einsehbar bis:</w:t>
      </w:r>
      <w:r>
        <w:rPr>
          <w:rFonts w:ascii="Times New Roman;Times;Serif" w:hAnsi="Times New Roman;Times;Serif"/>
          <w:b w:val="false"/>
          <w:i w:val="false"/>
          <w:caps w:val="false"/>
          <w:smallCaps w:val="false"/>
          <w:sz w:val="20"/>
        </w:rPr>
        <w:t xml:space="preserve"> 02.07.2027</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Meldungsnummer:</w:t>
      </w:r>
      <w:r>
        <w:rPr>
          <w:rFonts w:ascii="Times New Roman;Times;Serif" w:hAnsi="Times New Roman;Times;Serif"/>
          <w:b w:val="false"/>
          <w:i w:val="false"/>
          <w:caps w:val="false"/>
          <w:smallCaps w:val="false"/>
          <w:sz w:val="20"/>
        </w:rPr>
        <w:t xml:space="preserve"> UP04-0000008135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Publizierende Stelle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1714500" cy="4000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14500" cy="400050"/>
                    </a:xfrm>
                    <a:prstGeom prst="rect">
                      <a:avLst/>
                    </a:prstGeom>
                  </pic:spPr>
                </pic:pic>
              </a:graphicData>
            </a:graphic>
          </wp:inline>
        </w:drawing>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 Talacker 35, 8001 Zürich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Einladung zur ausserordentlichen</w:t>
      </w:r>
    </w:p>
    <w:p>
      <w:pPr>
        <w:pStyle w:val="TextBody"/>
        <w:bidi w:val="0"/>
        <w:spacing w:before="0" w:after="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Generalversammlung Veraxa Biotech AG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Betroffene Organisation: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 Biotech AG</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CHE-441.201.868</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Talacker 35</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8001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Angaben zur Generalversammlung:</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24.07.2026, 10:00 Uhr, Walder Wyss AG, Seefeldstrasse 123, 8008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Einladungstext/Traktanden:</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Einladung zur ausserordentlichen Generalversammlung der Aktionäre am Freitag, den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Invitation to the Extraordinary General Meeting of Shareholders on Friday,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Sehr geehrte Aktionärinnen und Aktionäre,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zur ausserordentlichen Generalversammlung der Aktionärinnen und Aktionäre der Veraxa Biotech AG einzuladen.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are pleased to invite you to the Extraordinary General Meeting of Shareholders of Veraxa Biotech AG.</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Datum: 24. Juli 2026</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Date: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Uhrzeit: 10:00 Uhr</w:t>
      </w:r>
      <w:r>
        <w:rPr>
          <w:rFonts w:ascii="Times New Roman;Times;Serif" w:hAnsi="Times New Roman;Times;Serif"/>
          <w:b w:val="false"/>
          <w:i w:val="false"/>
          <w:caps w:val="false"/>
          <w:smallCaps w:val="false"/>
          <w:sz w:val="20"/>
        </w:rPr>
        <w:t xml:space="preserve"> (Einlass ab 09:30 Uhr)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Time </w:t>
      </w:r>
      <w:r>
        <w:rPr>
          <w:rFonts w:ascii="Times New Roman;Times;Serif" w:hAnsi="Times New Roman;Times;Serif"/>
          <w:b w:val="false"/>
          <w:i/>
          <w:caps w:val="false"/>
          <w:smallCaps w:val="false"/>
          <w:sz w:val="20"/>
        </w:rPr>
        <w:t>10:00 AM (doors open at 09:30 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Ort / </w:t>
      </w:r>
      <w:r>
        <w:rPr>
          <w:rFonts w:ascii="Times New Roman;Times;Serif" w:hAnsi="Times New Roman;Times;Serif"/>
          <w:b/>
          <w:i/>
          <w:caps w:val="false"/>
          <w:smallCaps w:val="false"/>
          <w:sz w:val="20"/>
        </w:rPr>
        <w:t>Place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Walder Wyss AG, Seefeldstrasse 123, 8008 Zürich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TRAKTANDEN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Erhöhung bedingtes Kapital für Aktionärsoptionen 1 und Änderung von Art. 3a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in Conditional Capital for Shareholder Options 1 and Amendment of Article 3a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Erhöhung Kapitalband und Änderung von Art. 3d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Capital Band and Amendment of Article 3d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Erhöhung Anzahl Mitglieder des Verwaltungsrates und Änderung von Art. 15 der Statuten</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 of Number of Members of the Board of Directors and Amendment of Article 15 of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Text der beantragten Statutenänderungen siehe im Anhang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Appendix for the text of the proposed amendments to the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 Aktionärinnen und Aktionäre werden diejenigen Personen anerkannt, welche per 20. Juli 2026 im elektronischen Aktienbuch der Veraxa Biotech AG eingetragen sind. Die gegenseitige Vertretung von Aktionären ist statthaft. Ein zur Vertretung berufener Aktionär hat eine rechtsgültige Vollmacht seitens des vertretenen Aktionärs mitzubringen. Alternativ können Sie auf der Aktionärsplattform www.aequitec.ch einen unabhängigen Stimmrechtsvertreter mandatieren.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are defined as those individuals who are registered in the electronic share register of Veraxa Biotech AG as of 20 July 2026. Shareholders may appoint proxies to represent them. A shareholder appointed as a proxy must present a legally valid power of attorney from the shareholder they are representing. Alternatively, you can appoint an independent proxy on the shareholder platform www.aequitec.ch.</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Wir freuen uns, Sie am 24. Juli 2026 in Zürich begrüssen zu dürfen.</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look forward to welcoming you in Zurich on 24 July 2026.</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Freundliche Grüsse</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Kind regards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R. Baumann</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Präsident des Verwaltungsrates</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Anhang zur Einladung zur ausserordentlichen Generalversammlung der Aktionäre</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Appendix to Invitation to the Extraordinary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3a – Bedingtes Aktienkapital für Aktionärsoptionen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Aktienkapital der Gesellschaft wird im Maximalbetrag von CHF 459’789 + 25/453 erhöht durch Ausgabe von höchstens 52’071’110 vollständig zu liberierenden Namenaktien mit einem Nennwert von je CHF 100/11’325 durch Ausübung von Rechten oder Anwartschaften auf Erwerb von Aktien (Erwerbsrechte), welche: (a) in Verbindung mit Anleihens- oder ähnlichen Instrumenten, einschliesslich Wandel- oder Optionsanleihen, Darlehen oder anderer Finanzierungsinstrumente, der Gesellschaft oder von Konzerngesellschaften (zusammen nachfolgend “aktiengebundene Finanzierungsinstrumente” genannt) eingeräumt oder auferlegt werden; oder (b) an beliebige Personen (seien es Aktionäre oder Dritte) eingeräumt werden (nachfolgend “Warrants” genannt).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Das Bezugsrecht der Aktionäre ist ausgeschlossen.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bei der Ausgabe von aktiengebundenen Finanzierungsinstrumenten und bei Warrants das Vorwegzeichnungsrecht der Aktionäre zu beschränken oder aufzuheben im Zusammenhang mit (a) der Finanzierung (einschliesslich Refinanzierung) des Erwerbs von Unternehmen, Unternehmensteilen, Beteiligungen oder von neuen Investitionsvorhaben der Gesellschaft oder (b) der Emission auf nationalen oder internationalen Kapitalmärkten oder der Ausgabe an einen oder mehrere strategische Investoren oder Finanzinvestoren.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Soweit das Vorwegzeichnungsrecht ausgeschlossen ist, sind (i) die aktiengebundenen Finanzierungsinstrumente zu Marktbedingungen zu platzieren, (ii) die Ausübungsfrist der Wandelrechte auf höchstens zwanzig Jahre und jene der Optionsrechte auf höchstens zehn Jahre ab dem Zeitpunkt der Emission (oder einer Neufestsetzung der Bedingungen) anzusetzen und (iii) der Wandel- oder Ausübungspreis oder die Berechnungsmethode eines solchen Preises für die neuen Aktien entsprechend Marktbedingungen und -praxis im Zeitpunkt der Emission der aktiengebundenen Finanzierungsinstrumente, der Neufestsetzung der Bedingungen oder der Ausgabe von neuen Aktien festzulegen.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 Erwerbsrechte sind mittels schriftlicher Mitteilung an die Gesellschaft oder in einer anderen vom Verwaltungsrat festgelegten Form auszuüben.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3a – Conditional Capital for Shareholders’ Options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may be increased by up to CHF 459,789 + 25/453 by the issue of up to 52,071,110 fully-paid-up registered shares with a par value of CHF 100/11’325 each by exercising rights or entitlements to acquire shares (acquisition rights), which are: (a) granted or imposed in connection with bonds or similar instruments, including convertible bonds or bonds with warrants, loans or other financing instruments, of the Company or of consolidated subsidiaries (hereinafter collectively the “Equity-Linked Financing Instruments”), or (b) granted to any persons (whether shareholders or third parties) (hereinafter referred to as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shareholders’ subscription rights are excluded.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when issuing Equity-Linked Financing Instruments and Warrants to restrict or cancel shareholders’ advance subscription rights in connection with (a) the financing (including refinancing) of the acquisition of companies, parts of companies, participations or new investment projects of the Company, or (b) the issue on national or international capital markets or to one or more strategic or financial investors.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the right of advance subscription is excluded, the following conditions shall apply: (i) the Equity-Linked Financing Instruments are to be placed at market conditions; (ii) the exercise period of the conversion rights is to be set at a maximum of 20 years and that of the option rights at a maximum of 10 years from the date of the issue (or of a re-setting of the terms and conditions); and (iii) the conversion or exercise price or the calculation methodology for such price for the new shares is to be set in line with market conditions and practice prevailing at the time of the issue of the Equity-Linked Financing Instruments, of a re-setting of the terms and conditions, or of the new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Rights shall be exercised by way of written notice to the company or in another form as determined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Artikel 3d – Kapitalband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jederzeit bis zum 31. Dezember 2030 das derzeitige Aktienkapital der Gesellschaft durch die Ausgabe von maximal 70’703’906 Namenaktien mit einem Nennwert von je CHF 100/11’325 um nominal maximal CHF 624’317 + 25/453 zu erhöhen, wobei die obere Grenze des Kapitalbands nominal CHF 1’872’951 + 73/453 und die untere Grenze nominal CHF 1’248’634 + 50/453 beträgt. Mehrfache Erhöhungen (auch in Teilbeträgen) im Rahmen des Kapitalbands, der Befristung und der nachfolgenden Bestimmungen sind zulässig.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legt den Ausgabebetrag, die Art der Einlagen, den Zeitpunkt der Ausgabe, die Bedingungen der Bezugsrechtsausübung und den Beginn der Dividendenberechtigung fest. Dabei kann der Verwaltungsrat neue Aktien mittels Festübernahme durch eine Bank oder einen anderen Dritten und anschliessenden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Angebots an die bisherigen Aktionäre ausgeben. Der Verwaltungsrat ist ermächtigt, den Handel mit Bezugsrechten zu beschränken oder auszuschliessen. Nicht ausgeübte Bezugsrechte kann der Verwaltungsrat verfallen lassen oder diese bzw. die Aktien, für welche Bezugsrechte eingeräumt, aber nicht ausgeübt werden, zu Marktkonditionen platzieren oder anderweitig im Interesse der Gesellschaft verwenden.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ist ermächtigt, die Bezugsrechte der Aktionäre zu entziehen oder zu beschränken und Bezugsrechte einzelnen Aktionären oder Dritten zuzuweisen: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(i)</w:t>
            </w:r>
          </w:p>
        </w:tc>
        <w:tc>
          <w:tcPr>
            <w:tcW w:w="9998" w:type="dxa"/>
            <w:tcBorders/>
            <w:vAlign w:val="center"/>
          </w:tcPr>
          <w:p>
            <w:pPr>
              <w:pStyle w:val="TableContents"/>
              <w:bidi w:val="0"/>
              <w:spacing w:before="0" w:after="283"/>
              <w:jc w:val="both"/>
              <w:rPr/>
            </w:pPr>
            <w:r>
              <w:rPr/>
              <w:t>sofern die Aktien für die Übernahme von Unternehmen, Unternehmensteilen oder Beteiligungen oder für die Finanzierung oder Refinanzierung solcher Transaktionen, die Umwandlung von Darlehen oder Wertschriften in Aktien, die Finanzierung von neuen Investitionsvorhaben der Gesellschaft, den Erwerb oder die Finanzierung von Produkten, geistigem Eigentum oder Lizenzen oder die Finanzierung von strategischen Initiativen verwendet werden;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sofern die Aktien zum Zwecke der Erweiterung des Aktionärskreises im Zusammenhang mit der Kotierung der Aktien an einer Börse, um den Streubesitz zu erhöhen, oder zur Beteiligung von strategischen Partnern verwendet werden;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(iii)</w:t>
            </w:r>
          </w:p>
        </w:tc>
        <w:tc>
          <w:tcPr>
            <w:tcW w:w="9818" w:type="dxa"/>
            <w:tcBorders/>
            <w:vAlign w:val="center"/>
          </w:tcPr>
          <w:p>
            <w:pPr>
              <w:pStyle w:val="TableContents"/>
              <w:bidi w:val="0"/>
              <w:spacing w:before="0" w:after="283"/>
              <w:jc w:val="both"/>
              <w:rPr/>
            </w:pPr>
            <w:r>
              <w:rPr/>
              <w:t>im Fall nationaler oder internationaler (auch privater) Platzierung von Aktien zu Marktkonditionen; oder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(iv)</w:t>
            </w:r>
          </w:p>
        </w:tc>
        <w:tc>
          <w:tcPr>
            <w:tcW w:w="9859" w:type="dxa"/>
            <w:tcBorders/>
            <w:vAlign w:val="center"/>
          </w:tcPr>
          <w:p>
            <w:pPr>
              <w:pStyle w:val="TableContents"/>
              <w:bidi w:val="0"/>
              <w:spacing w:before="0" w:after="283"/>
              <w:jc w:val="both"/>
              <w:rPr/>
            </w:pPr>
            <w:r>
              <w:rPr/>
              <w:t>sofern die Aktien zum Zwecke einer raschen und flexiblen Beschaffung von Eigenkapital, welche ohne Beschränkung oder Ausschluss des Bezugsrechts nur schwer oder zu schlechteren Bedingungen möglich wäre.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3d – Capital Band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authorised to increase the current share capital of the Company at any time until 31 December 2030 by a maximum nominal amount of CHF 624,317 + 25/453 by issuing a maximum of 70,703,906 registered shares with a par value of CHF 100/11,325 each (common shares), whereby the upper limit of the capital band is nominally CHF 1’872’951 + 73/453 and the lower limit is nominally CHF 1,248,634 + 50/453. Multiple increases (also in instalments) within the framework of the capital band, the time limit and the following provisions are permitted.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determine the amount of share capital to be issued, the type of contribution, the date of issue, the conditions governing the exercise of subscription rights and the commencement of dividend entitlement. The Board of Directors may issue new shares which are underwritten by a bank or other third party and subsequently offered to existing shareholders. The Board of Directors is authorised to restrict or to prohibit trading in the subscription rights to the new shares. In the event of subscription rights not being exercised, the Board of Directors may, at its discretion, either allow such rights to expire worthless, or place them or the shares to which they entitle their holders either at market prices or in some other manner commensurate with the interests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to withdraw or limit the subscription rights of shareholders and to allocate subscription rights to individual shareholders or third parties: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of the new shares being used to acquire companies, parts thereof or participations, or for the financing or refinancing of such transactions, for the conversion of loans or securities into shares, for the financing of new investment projects undertaken, the acquisition or financing of products, intellectual property or licenses, or the financing of strategic initiatives undertaken by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of the new shares being used either to extend the shareholder base [in conjunction with the listing of the shares on any stock exchange] to increase the free float or for investment by strategic partners;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(iii)</w:t>
            </w:r>
          </w:p>
        </w:tc>
        <w:tc>
          <w:tcPr>
            <w:tcW w:w="9830" w:type="dxa"/>
            <w:tcBorders/>
            <w:vAlign w:val="center"/>
          </w:tcPr>
          <w:p>
            <w:pPr>
              <w:pStyle w:val="TableContents"/>
              <w:bidi w:val="0"/>
              <w:spacing w:before="0" w:after="283"/>
              <w:jc w:val="both"/>
              <w:rPr/>
            </w:pPr>
            <w:r>
              <w:rPr/>
              <w:t>of the new shares being placed nationally or internationally (including by way of private placement) at market conditions;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0"/>
        <w:gridCol w:w="9867"/>
      </w:tblGrid>
      <w:tr>
        <w:trPr/>
        <w:tc>
          <w:tcPr>
            <w:tcW w:w="3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(iv)</w:t>
            </w:r>
          </w:p>
        </w:tc>
        <w:tc>
          <w:tcPr>
            <w:tcW w:w="9867" w:type="dxa"/>
            <w:tcBorders/>
            <w:vAlign w:val="center"/>
          </w:tcPr>
          <w:p>
            <w:pPr>
              <w:pStyle w:val="TableContents"/>
              <w:bidi w:val="0"/>
              <w:spacing w:before="0" w:after="283"/>
              <w:jc w:val="both"/>
              <w:rPr/>
            </w:pPr>
            <w:r>
              <w:rPr/>
              <w:t>the new shares being issued for the for the purpose of raising equity capital in a swift and flexible manner, where such raising of capital would be difficult or would only be possible at less favorable conditions if the subscription rights to the new shares were not restricted or withdrawn.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 15 Abs.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 Verwaltungsrat besteht aus bis zu sieben Mitgliedern.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 15 para. 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consist of up to seven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English text is provided solely as a translation of the German original. In case of doubt, the German version shall prevail.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jc w:val="left"/>
        <w:rPr>
          <w:caps w:val="false"/>
          <w:smallCaps w:val="false"/>
        </w:rPr>
      </w:pPr>
      <w:bookmarkStart w:id="4" w:name="veraxabiotechag_ex99-2.htm"/>
      <w:bookmarkStart w:id="5" w:name="ksveraxabiotechag_ex992"/>
      <w:bookmarkEnd w:id="4"/>
      <w:bookmarkEnd w:id="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Initiates Cell Line Development with ATUM to Advance its Lead BiTAC</w:t>
      </w:r>
      <w:r>
        <w:rPr>
          <w:rFonts w:ascii="Times New Roman;Times;Serif" w:hAnsi="Times New Roman;Times;Serif"/>
          <w:b/>
          <w:i w:val="false"/>
          <w:caps w:val="false"/>
          <w:smallCaps w:val="false"/>
          <w:color w:val="59A1A6"/>
          <w:position w:val="8"/>
          <w:sz w:val="19"/>
          <w:sz w:val="24"/>
        </w:rPr>
        <w:t>®</w:t>
      </w:r>
      <w:r>
        <w:rPr>
          <w:rFonts w:ascii="Times New Roman;Times;Serif" w:hAnsi="Times New Roman;Times;Serif"/>
          <w:b/>
          <w:i w:val="false"/>
          <w:caps w:val="false"/>
          <w:smallCaps w:val="false"/>
          <w:color w:val="59A1A6"/>
          <w:sz w:val="24"/>
        </w:rPr>
        <w:t>-TCE Program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color w:val="424242"/>
          <w:sz w:val="20"/>
        </w:rPr>
      </w:pPr>
      <w:r>
        <w:rPr>
          <w:rFonts w:ascii="Times New Roman;Times;Serif" w:hAnsi="Times New Roman;Times;Serif"/>
          <w:b w:val="false"/>
          <w:i/>
          <w:caps w:val="false"/>
          <w:smallCaps w:val="false"/>
          <w:color w:val="424242"/>
          <w:sz w:val="20"/>
        </w:rPr>
        <w:t>ATUM, a leading US-based contract research organization, selected to support stable clonal cell line generation to advance VERAXA’s lead BiTAC-TCE program toward IND/CTA-enabling activities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ZURICH, SWITZERLAND – July 02, 2026 – </w:t>
      </w:r>
      <w:r>
        <w:rPr>
          <w:rFonts w:ascii="Times New Roman;Times;Serif" w:hAnsi="Times New Roman;Times;Serif"/>
          <w:b w:val="false"/>
          <w:i w:val="false"/>
          <w:caps w:val="false"/>
          <w:smallCaps w:val="false"/>
          <w:sz w:val="20"/>
          <w:u w:val="single"/>
        </w:rPr>
        <w:t>VERAXA Biotech</w:t>
      </w:r>
      <w:r>
        <w:rPr>
          <w:rFonts w:ascii="Times New Roman;Times;Serif" w:hAnsi="Times New Roman;Times;Serif"/>
          <w:b w:val="false"/>
          <w:i w:val="false"/>
          <w:caps w:val="false"/>
          <w:smallCaps w:val="false"/>
          <w:sz w:val="20"/>
        </w:rPr>
        <w:t xml:space="preserve"> AG (NASDAQ: VRXA; “VERAXA”), an emerging leader in designing novel cancer therapies, today announced the initiation of cell line development for its lead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T-cell engager (BiTAC-TCE) program. VERAXA has engaged </w:t>
      </w:r>
      <w:r>
        <w:rPr>
          <w:rFonts w:ascii="Times New Roman;Times;Serif" w:hAnsi="Times New Roman;Times;Serif"/>
          <w:b w:val="false"/>
          <w:i w:val="false"/>
          <w:caps w:val="false"/>
          <w:smallCaps w:val="false"/>
          <w:sz w:val="20"/>
          <w:u w:val="single"/>
        </w:rPr>
        <w:t>ATUM</w:t>
      </w:r>
      <w:r>
        <w:rPr>
          <w:rFonts w:ascii="Times New Roman;Times;Serif" w:hAnsi="Times New Roman;Times;Serif"/>
          <w:b w:val="false"/>
          <w:i w:val="false"/>
          <w:caps w:val="false"/>
          <w:smallCaps w:val="false"/>
          <w:sz w:val="20"/>
        </w:rPr>
        <w:t>, a global leader in bioengineering and cell line development, to apply the proprietary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to support stable clonal cell line generation. The collaboration marks a key step in progressing VERAXA’s most advanced T-cell engager candidate toward IND/CTA-enabling activities and supports future clinical development.</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Today’s news underscores our commitment to accelerate the development path of our growing BiTAC-TCE portfolio. Initiating cell line development with ATUM is an important next step for our lead BiTAC-TCE program following the encouraging preclinical data we presented at AACR,” said Christoph Erkel, Ph.D., Vice President Research &amp; Development of VERAXA. “Working with a recognized cell line development partner like ATUM allows us to pair our differentiated molecular design with expertise and workflows built for exactly this kind of advanced multi-chain formats.”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 line development is an important milestone in translating a therapeutic candidate into a manufacturable product. The collaboration with ATUM is intended to support the generation of stable and high-producing clonal cell lines that will be used throughout CMC development, including early process, analytical, and formulation development, as well as the supply of material for nonclinical studies. ATUM’s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is designed to support efficient stable cell line generation and is particularly relevant for multi-chain antibody formats where balanced expression of multiple components is important, such as VERAXA’s BiTAC-TCEs. ATUM’s Leap-In Transposase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technology has supported the generation of stable cell lines used in over 50 IND submissions, providing VERAXA with an established cell line development approach for advanced biologic formats.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new generation of T-cell engagers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T-cell-engaging bispecific molecules redirect cytotoxic T-cells to eliminate cancer cells, typically by binding the CD3 receptor on T-cells while simultaneously engaging a target protein on the tumor. While effective in select indications, conventional TCEs remain limited by toxicity; because their tumor target is often also present on healthy tissue, on-target but off-tumor T-cell activation can drive serious side effects and narrow the therapeutic window. A large proportion of conventional bispecific TCEs fail in development for this reason.</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VERAXA’s BiTAC-TCE approach is designed to address this challenge at its source. Rather than delivering a single, fully active molecule, the BiTAC strategy splits the T-cell engager into two complementary precursors. In their isolated form, each precursor retains its tumor-binding capability while the CD3-binding function remains inactivated. Only when both precursors bind their respective targets on the same cell is the CD3-binding domain reconstituted and activated. This “AND”-gated mechanism restricts T-cell activity to cells displaying both tumor markers, sparing healthy cells that carry only one.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dual-target, conditional-activation design distinguishes BiTAC-TCEs from both traditional TCEs and from masked-TCE approaches that rely on a single antibody whose effector function is shielded until cleaved in the tumor microenvironment. By requiring the simultaneous engagement of two distinct antigens to assemble the active engager, BiTAC-TCEs are engineered for greater tumor selectivity, with the goal of enabling higher dosing and a meaningfully wider therapeutic window.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Initial data from VERAXA’s most advanced BiTAC-TCE program were presented at the American Association for Cancer Research (AACR) Annual Meeting 2026, in April. In those studies, VERAXA’s BiTAC-TCE candidate performed as intended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in vivo</w:t>
      </w:r>
      <w:r>
        <w:rPr>
          <w:rFonts w:ascii="Times New Roman;Times;Serif" w:hAnsi="Times New Roman;Times;Serif"/>
          <w:b w:val="false"/>
          <w:i w:val="false"/>
          <w:caps w:val="false"/>
          <w:smallCaps w:val="false"/>
          <w:sz w:val="20"/>
        </w:rPr>
        <w:t>, attacking cancer cells displaying both target molecules while sparing cells expressing only one of the two targets. The data demonstrated a superior safety profile with matching efficacy compared with a more traditional TCE, pointing to the possibility of a meaningfully improved therapeutic index. The related posters are available on the VERAXA website at www.veraxa.com.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bispecific T cell engagers, bispecific ADCs and other innovative formats. Powered by a suite of transformative technologies and guided by rigorous quality-by-design principles, we are rapidly advancing our pipeline of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https://investors.veraxa.com</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 xml:space="preserve"> 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ATUM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ATUM is a fully integrated biotechnology contract research organization that provides services for gene design, protein engineering, and cell line development. By combining machine learning, synthetic biology, and proprietary expression technologies, ATUM helps partners worldwide transform digital sequences into clinical reality. ATUM is headquartered in Newark, Calif. and found online at www.atum.bio.</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143750" cy="14097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 The press release may also contain certain non-GAAP financial measures, adjusted to exclude certain costs, expenses, gains and losses and other specified items. Reconciliations of these non-GAAP financial measures to the most comparable GAAP measures for a particular quarterly period are available on the Company’s website at www.veraxa.com.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VERAXA Biotech AG - Corporate</w:t>
      </w:r>
    </w:p>
    <w:p>
      <w:pPr>
        <w:pStyle w:val="TextBody"/>
        <w:bidi w:val="0"/>
        <w:jc w:val="left"/>
        <w:rPr>
          <w:rFonts w:ascii="Times New Roman;Times;Serif" w:hAnsi="Times New Roman;Times;Serif"/>
          <w:b w:val="false"/>
          <w:i w:val="false"/>
          <w:caps w:val="false"/>
          <w:smallCaps w:val="false"/>
          <w:color w:val="131313"/>
          <w:sz w:val="20"/>
        </w:rPr>
      </w:pPr>
      <w:r>
        <w:rPr>
          <w:rFonts w:ascii="Times New Roman;Times;Serif" w:hAnsi="Times New Roman;Times;Serif"/>
          <w:b w:val="false"/>
          <w:i w:val="false"/>
          <w:caps w:val="false"/>
          <w:smallCaps w:val="false"/>
          <w:color w:val="131313"/>
          <w:sz w:val="20"/>
        </w:rPr>
        <w:t>Christoph Antz, Ph.D.</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Co-Founder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investors@veraxa.com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and Investors – U.S.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Weiner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VERAXA@icrhealthcare.com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and Investors – EU</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Brkulj</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media@veraxa.com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caps w:val="false"/>
          <w:smallCaps w:val="false"/>
        </w:rPr>
      </w:pPr>
      <w:bookmarkStart w:id="6" w:name="veraxabiotechag_ex99-3.htm"/>
      <w:bookmarkStart w:id="7" w:name="ksveraxabiotechag_ex993"/>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14097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52500" cy="57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52500" cy="57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 xml:space="preserve">VERAXA Biotech Provides Business Update and Further Details on </w:t>
        <w:br/>
        <w:t>Partnering Strategy and Development Timelines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color w:val="424242"/>
          <w:sz w:val="20"/>
        </w:rPr>
      </w:pPr>
      <w:r>
        <w:rPr>
          <w:rFonts w:ascii="Times New Roman;Times;Serif" w:hAnsi="Times New Roman;Times;Serif"/>
          <w:b w:val="false"/>
          <w:i/>
          <w:caps w:val="false"/>
          <w:smallCaps w:val="false"/>
          <w:color w:val="424242"/>
          <w:sz w:val="20"/>
        </w:rPr>
        <w:t>Novel conditionally active T cell engagers sourced from proprietary BiTAC</w:t>
      </w:r>
      <w:r>
        <w:rPr>
          <w:rFonts w:ascii="Times New Roman;Times;Serif" w:hAnsi="Times New Roman;Times;Serif"/>
          <w:b w:val="false"/>
          <w:i/>
          <w:caps w:val="false"/>
          <w:smallCaps w:val="false"/>
          <w:color w:val="424242"/>
          <w:position w:val="7"/>
          <w:sz w:val="16"/>
          <w:sz w:val="20"/>
        </w:rPr>
        <w:t>®</w:t>
      </w:r>
      <w:r>
        <w:rPr>
          <w:rFonts w:ascii="Times New Roman;Times;Serif" w:hAnsi="Times New Roman;Times;Serif"/>
          <w:b w:val="false"/>
          <w:i/>
          <w:caps w:val="false"/>
          <w:smallCaps w:val="false"/>
          <w:color w:val="424242"/>
          <w:sz w:val="20"/>
        </w:rPr>
        <w:t xml:space="preserve"> platform are at the basis of advanced partnering initiatives and development activities</w:t>
      </w:r>
    </w:p>
    <w:p>
      <w:pPr>
        <w:pStyle w:val="TextBody"/>
        <w:bidi w:val="0"/>
        <w:spacing w:before="0" w:after="0"/>
        <w:ind w:left="0" w:right="0" w:hanging="0"/>
        <w:jc w:val="left"/>
        <w:rPr>
          <w:caps/>
          <w:spacing w:val="20"/>
        </w:rPr>
      </w:pPr>
      <w:r>
        <w:rPr>
          <w:caps/>
          <w:spacing w:val="20"/>
        </w:rPr>
        <w:t> </w:t>
      </w:r>
    </w:p>
    <w:p>
      <w:pPr>
        <w:pStyle w:val="TextBody"/>
        <w:bidi w:val="0"/>
        <w:spacing w:before="0" w:after="0"/>
        <w:ind w:left="0" w:right="0" w:hanging="0"/>
        <w:jc w:val="left"/>
        <w:rPr>
          <w:caps/>
          <w:spacing w:val="20"/>
        </w:rPr>
      </w:pPr>
      <w:r>
        <w:rPr>
          <w:caps/>
          <w:spacing w:val="2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 July 6, 2026 –</w:t>
      </w:r>
      <w:r>
        <w:rPr>
          <w:rFonts w:ascii="Times New Roman;Times;Serif" w:hAnsi="Times New Roman;Times;Serif"/>
          <w:b w:val="false"/>
          <w:i w:val="false"/>
          <w:caps w:val="false"/>
          <w:smallCaps w:val="false"/>
          <w:sz w:val="20"/>
        </w:rPr>
        <w:t xml:space="preserve"> VERAXA Biotech AG (NASDAQ: VRXA; “VERAXA”), an emerging leader in designing novel cancer therapies, today provided a company and pipeline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first six months of 2026, we have made substantial progress in honing our pipeline and partnering strategy. We continue to record tangible interest in our novel 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and its applications in building a range of BiTAC-T cell engagers and BiTAC-antibody-drug conjugates,” stated Dr. Christoph Antz, Ph.D., Chief Executive Officer of VERAXA Biotech. “BiTAC molecules are expected to dominate our pipeline development efforts in the years to come and mature to be the main value drivers of the company. Therefore, we intend to channel the lion’s share of our investments into our BiTAC portfolio and aim to monetize selected non-BiTAC pipeline assets early to finance its growth. It is our firm goal to have a first BiTAC-TCE candidate VXA-102 IND/CTA-ready by the beginning of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pipeline currently consists of four BiTAC-based therapeutic programs aimed at treating various solid tumor indications. Mirroring the more advanced state of development of the BiTAC-TCE platform, all of these programs are T cell engagers. Complementing our BiTAC portfolio are currently two bispecific ADCs (bs ADCs) with more traditional molecular design. This includes the bsADC program pursued within a strategic partnership with OmniAb, Inc. The formally most advanced program in VERAXA’s portfolio, the Fc-enhanced FLT3-targeting monoclonal antibody VXA-901 for the treatment of acute myeloid leukemia (AML), and the company’s HER2-targeting ADC program are available for partnering.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in novel technologies and drug development programs in the T cell engager and ADC space continues to be at a record high in the pharmaceutical industry. To benefit from this positive partnering environment, it is crucial to have a clearly differentiated technology, which we have with our BiTAC platform,” added Heinz Schwer, Ph.D., MBA, Chief Business Officer of VERAXA. “The recent BIO International Partnering Conference turned out to be a well-timed opportunity for us to meet with potential new partners and also to intensify our ongoing discussions. The feedback received at this and other recent industry and scientific events gives as a great level of confidence that, with continued validation of our platform and products, we will be well positioned to secure initial partnerships.”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regular updates about VERAXA Biotech, visit www.veraxa.com or follow us on LinkedIn, X (formerly known as Twitter) and Bluesky.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Such forward-looking statements are based on current expectations and involve inherent risks and uncertainties, including factors that could delay, divert or change any of them, and could cause actual outcomes and results to differ materially from current expectations, including with respect to the company’s anticipated pipeline development focus, its ability to monetize its pipeline assets, the timing for development of its pipeline candidates and the ability of the company to partner its pipeline assets. No forward-looking statement can be guaranteed. Forward-looking statements contained on this press release should be evaluated together with the many uncertainties that affect the Company’s business, particularly those identified in the risk factors section of the Company’s registration statement on Form F-4. These documents are available from the Securities and Exchange Commission, the Company website or from Company 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120" w:after="120"/>
        <w:ind w:left="0" w:right="0" w:hanging="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2</w:t>
      </w:r>
    </w:p>
    <w:p>
      <w:pPr>
        <w:pStyle w:val="TextBody"/>
        <w:bidi w:val="0"/>
        <w:spacing w:before="120" w:after="120"/>
        <w:jc w:val="center"/>
        <w:rPr>
          <w:caps w:val="false"/>
          <w:smallCaps w:val="false"/>
        </w:rPr>
      </w:pPr>
      <w:r>
        <w:rPr>
          <w:caps w:val="false"/>
          <w:smallCaps w:val="false"/>
        </w:rPr>
        <w:drawing>
          <wp:inline distT="0" distB="0" distL="0" distR="0">
            <wp:extent cx="7143750" cy="14097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143750" cy="14097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VERAXA Biotech AG – Corporate</w:t>
      </w:r>
      <w:r>
        <w:rPr>
          <w:rFonts w:ascii="Times New Roman;Times;Serif" w:hAnsi="Times New Roman;Times;Serif"/>
          <w:b w:val="false"/>
          <w:i w:val="false"/>
          <w:caps w:val="false"/>
          <w:smallCaps w:val="false"/>
          <w:sz w:val="20"/>
        </w:rPr>
        <w:br/>
        <w:t>Christoph Antz, Ph.D.</w:t>
        <w:br/>
        <w:t>Chief Executive Officer, Co-Founder</w:t>
        <w:br/>
        <w:t>investors@veraxa.com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br/>
      </w:r>
      <w:r>
        <w:rPr>
          <w:rFonts w:ascii="Times New Roman;Times;Serif" w:hAnsi="Times New Roman;Times;Serif"/>
          <w:b w:val="false"/>
          <w:i w:val="false"/>
          <w:caps w:val="false"/>
          <w:smallCaps w:val="false"/>
          <w:sz w:val="20"/>
        </w:rPr>
        <w:t>Brandon Weiner</w:t>
        <w:br/>
        <w:t>ICR Healthcare</w:t>
        <w:br/>
        <w:t>VERAXA@icrhealthcare.com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EU</w:t>
        <w:br/>
      </w:r>
      <w:r>
        <w:rPr>
          <w:rFonts w:ascii="Times New Roman;Times;Serif" w:hAnsi="Times New Roman;Times;Serif"/>
          <w:b w:val="false"/>
          <w:i w:val="false"/>
          <w:caps w:val="false"/>
          <w:smallCaps w:val="false"/>
          <w:sz w:val="20"/>
        </w:rPr>
        <w:t>Mario Brkulj</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media@veraxa.com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color w:val="000000"/>
          <w:sz w:val="20"/>
          <w:bdr w:val="single" w:sz="16" w:space="1" w:color="000000"/>
        </w:rPr>
      </w:pPr>
      <w:r>
        <w:rPr>
          <w:rFonts w:ascii="Times New Roman;Times;Serif" w:hAnsi="Times New Roman;Times;Serif"/>
          <w:b w:val="false"/>
          <w:i w:val="false"/>
          <w:caps w:val="false"/>
          <w:smallCaps w:val="false"/>
          <w:color w:val="000000"/>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7584</Words>
  <Characters>45493</Characters>
  <CharactersWithSpaces>53127</CharactersWithSpaces>
  <Paragraphs>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