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_6k.htm"/>
      <w:bookmarkStart w:id="1" w:name="ksveraxabiotech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SECURITIES AND EXCHANGE COMMISSION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REPORT OF FOREIGN PRIVATE ISSUER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PURSUANT TO RULE 13A-16 OR 15D-16</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month of June 2026</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333-289108</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8001 Zurich, Switzerland</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(Address of principal executive office)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files or will file annual reports under cover of Form 20-F or Form 40-F.</w:t>
      </w:r>
    </w:p>
    <w:p>
      <w:pPr>
        <w:pStyle w:val="TextBody"/>
        <w:bidi w:val="0"/>
        <w:jc w:val="both"/>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101(b)(1):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101(b)(7):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 Vitro Proof-of-Concept for BiTAC-ADC Technology Platform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June 18, 2026, Veraxa Biotech AG (the “Company”) issued a press release announcing the generation of new in vitro proof-of-concept data validating its novel BiTAC-ADC technology platform and the Company's attendance at the BIO International Convention 2026 to discuss partnering opportunities.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copy of the press release is attached as Exhibit 99.1 to this current report on Form 6-K and is incorporated by reference herein.</w:t>
      </w:r>
    </w:p>
    <w:p>
      <w:pPr>
        <w:pStyle w:val="TextBody"/>
        <w:bidi w:val="0"/>
        <w:ind w:left="0" w:right="0" w:firstLine="360"/>
        <w:jc w:val="both"/>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EXHIBIT INDEX</w:t>
      </w:r>
    </w:p>
    <w:p>
      <w:pPr>
        <w:pStyle w:val="TextBody"/>
        <w:bidi w:val="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785"/>
        <w:gridCol w:w="60"/>
        <w:gridCol w:w="3350"/>
      </w:tblGrid>
      <w:tr>
        <w:trPr/>
        <w:tc>
          <w:tcPr>
            <w:tcW w:w="785" w:type="dxa"/>
            <w:tcBorders>
              <w:bottom w:val="single" w:sz="8" w:space="0" w:color="000000"/>
            </w:tcBorders>
            <w:shd w:fill="FFFFFF" w:val="clear"/>
            <w:vAlign w:val="center"/>
          </w:tcPr>
          <w:p>
            <w:pPr>
              <w:pStyle w:val="TableContents"/>
              <w:bidi w:val="0"/>
              <w:spacing w:before="0" w:after="283"/>
              <w:ind w:left="0" w:right="0" w:hanging="180"/>
              <w:jc w:val="left"/>
              <w:rPr>
                <w:b/>
              </w:rPr>
            </w:pPr>
            <w:r>
              <w:rPr>
                <w:b/>
              </w:rPr>
              <w:t>Exhibit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50" w:type="dxa"/>
            <w:tcBorders>
              <w:bottom w:val="single" w:sz="8" w:space="0" w:color="000000"/>
            </w:tcBorders>
            <w:shd w:fill="FFFFFF" w:val="clear"/>
            <w:vAlign w:val="center"/>
          </w:tcPr>
          <w:p>
            <w:pPr>
              <w:pStyle w:val="TableContents"/>
              <w:bidi w:val="0"/>
              <w:spacing w:before="0" w:after="283"/>
              <w:ind w:left="0" w:right="0" w:hanging="180"/>
              <w:jc w:val="left"/>
              <w:rPr>
                <w:b/>
              </w:rPr>
            </w:pPr>
            <w:r>
              <w:rPr>
                <w:b/>
              </w:rPr>
              <w:t>Description of Exhibit</w:t>
            </w:r>
          </w:p>
        </w:tc>
      </w:tr>
      <w:tr>
        <w:trPr/>
        <w:tc>
          <w:tcPr>
            <w:tcW w:w="78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ind w:left="0" w:right="0" w:hanging="360"/>
              <w:jc w:val="left"/>
              <w:rPr/>
            </w:pPr>
            <w:r>
              <w:rPr/>
              <w:t> </w:t>
            </w:r>
          </w:p>
        </w:tc>
        <w:tc>
          <w:tcPr>
            <w:tcW w:w="3350" w:type="dxa"/>
            <w:tcBorders/>
            <w:shd w:fill="CCEEFF" w:val="clear"/>
            <w:tcMar>
              <w:bottom w:w="0" w:type="dxa"/>
            </w:tcMar>
            <w:vAlign w:val="center"/>
          </w:tcPr>
          <w:p>
            <w:pPr>
              <w:pStyle w:val="TableContents"/>
              <w:bidi w:val="0"/>
              <w:spacing w:before="0" w:after="283"/>
              <w:jc w:val="left"/>
              <w:rPr/>
            </w:pPr>
            <w:hyperlink w:anchor="veraxabiotech_ex99-1.htm">
              <w:r>
                <w:rPr>
                  <w:rStyle w:val="InternetLink"/>
                </w:rPr>
                <w:t>Press Release dated June 18, 2026.</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940"/>
        <w:gridCol w:w="650"/>
        <w:gridCol w:w="1955"/>
      </w:tblGrid>
      <w:tr>
        <w:trPr/>
        <w:tc>
          <w:tcPr>
            <w:tcW w:w="1940"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VERAXA BIOTECH AG</w:t>
            </w:r>
          </w:p>
        </w:tc>
      </w:tr>
      <w:tr>
        <w:trPr/>
        <w:tc>
          <w:tcPr>
            <w:tcW w:w="1940"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Date: June 18, 2026</w:t>
            </w:r>
          </w:p>
        </w:tc>
        <w:tc>
          <w:tcPr>
            <w:tcW w:w="650" w:type="dxa"/>
            <w:tcBorders/>
            <w:vAlign w:val="center"/>
          </w:tcPr>
          <w:p>
            <w:pPr>
              <w:pStyle w:val="TableContents"/>
              <w:bidi w:val="0"/>
              <w:spacing w:before="0" w:after="283"/>
              <w:jc w:val="left"/>
              <w:rPr/>
            </w:pPr>
            <w:r>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Christoph Antz</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Christoph Antz</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650"/>
        <w:gridCol w:w="287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870"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Oliver Baumann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87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Oliver Baumann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87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Chairman of the Board of Directors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 w:name="veraxabiotech_ex99-1.htm"/>
      <w:bookmarkStart w:id="3" w:name="ksveraxabiotech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143750" cy="1466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14668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Press Release</w:t>
      </w:r>
    </w:p>
    <w:p>
      <w:pPr>
        <w:pStyle w:val="TextBody"/>
        <w:bidi w:val="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rPr>
      </w:pPr>
      <w:r>
        <w:rPr>
          <w:caps w:val="false"/>
          <w:smallCaps w:val="false"/>
        </w:rPr>
        <w:drawing>
          <wp:inline distT="0" distB="0" distL="0" distR="0">
            <wp:extent cx="952500" cy="66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 cy="66675"/>
                    </a:xfrm>
                    <a:prstGeom prst="rect">
                      <a:avLst/>
                    </a:prstGeom>
                  </pic:spPr>
                </pic:pic>
              </a:graphicData>
            </a:graphic>
          </wp:inline>
        </w:drawing>
      </w:r>
    </w:p>
    <w:p>
      <w:pPr>
        <w:pStyle w:val="TextBody"/>
        <w:bidi w:val="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VERAXA Biotech Establishes </w:t>
      </w:r>
      <w:r>
        <w:rPr>
          <w:rFonts w:ascii="Times New Roman;Times;Serif" w:hAnsi="Times New Roman;Times;Serif"/>
          <w:b/>
          <w:i/>
          <w:caps w:val="false"/>
          <w:smallCaps w:val="false"/>
          <w:sz w:val="24"/>
        </w:rPr>
        <w:t>in vitro</w:t>
      </w:r>
      <w:r>
        <w:rPr>
          <w:rFonts w:ascii="Times New Roman;Times;Serif" w:hAnsi="Times New Roman;Times;Serif"/>
          <w:b/>
          <w:i w:val="false"/>
          <w:caps w:val="false"/>
          <w:smallCaps w:val="false"/>
          <w:sz w:val="24"/>
        </w:rPr>
        <w:t xml:space="preserve"> Proof-of-Concept for Novel</w:t>
        <w:br/>
        <w:t>BiTAC-ADC Technology Platform and Launches Partnering Discussions at BIO International Convention 2026</w:t>
      </w:r>
    </w:p>
    <w:p>
      <w:pPr>
        <w:pStyle w:val="TextBody"/>
        <w:bidi w:val="0"/>
        <w:spacing w:before="0" w:after="0"/>
        <w:ind w:left="0" w:right="0" w:hanging="0"/>
        <w:jc w:val="both"/>
        <w:rPr>
          <w:caps w:val="false"/>
          <w:smallCaps w:val="false"/>
          <w:color w:val="59A1A6"/>
        </w:rPr>
      </w:pPr>
      <w:r>
        <w:rPr>
          <w:caps w:val="false"/>
          <w:smallCaps w:val="false"/>
          <w:color w:val="59A1A6"/>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BiTAC-ADC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data, along with initial data from the most advanced BiTAC-TCE program recently presented at the American Association for Cancer Research (AACR) Annual Meeting, underpin the Company’s two viable and clearly differentiated product platform technologies</w:t>
            </w:r>
          </w:p>
        </w:tc>
      </w:tr>
    </w:tbl>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 June 18, 2026 --</w:t>
      </w:r>
      <w:r>
        <w:rPr>
          <w:rFonts w:ascii="Times New Roman;Times;Serif" w:hAnsi="Times New Roman;Times;Serif"/>
          <w:b w:val="false"/>
          <w:i w:val="false"/>
          <w:caps w:val="false"/>
          <w:smallCaps w:val="false"/>
          <w:sz w:val="20"/>
        </w:rPr>
        <w:t xml:space="preserve"> VERAXA Biotech AG (NASDAQ: VRXA; “VERAXA”), an emerging leader in designing novel cancer therapies, today announced that the Company has generated new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proof-of-concept data validating its novel BiTAC-ADC technology platform and its potential to enable more precise and targeted cancer therapies. VERAXA will attend the BIO International Convention in San Diego, Calif., June 22-25, 2026, to discuss partnering opportunities based on its novel BiTAC-ADC and BiTAC-TCE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BiTAC™ therapeutic strategy is designed to unlock a new level of precision in cancer treatment by using two complementary precursors and enabling a tumor-restricted activation of the desired therapeutic effect. Applied to the development of antibody drug conjugates (ADCs), the technology delivers a systemically inactive prodrug and a cell-impermeable proactivator through two separate antibodies, each addressing a defined tumor-associated antigen. While the single BiTAC-ADC precursors are therefore not toxic by design, the selective internalization of both components into the same cancer cells leads to dose-dependent cytotoxicity. In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studies, BiTAC-ADCs have now been shown to discriminate between breast cancer and healthy cells and have demonstrated efficient and dose-dependent killing of 3D tumor cell spheroids.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Following our successful listing on NASDAQ earlier this month, the BIO International Convention presents a great opportunity and is the ideal timing to provide more details on how our BiTAC-ADC platform can be applied to the potential benefit of cancer patients,” said Heinz Schwer, Ph.D., MBA, Chief Business Officer of VERAXA. “Current ADC technologies have transformed cancer treatment but continue to face challenges associated with off-tumor toxicity caused by payload exposure in healthy tissues. BiTAC-ADCs are specifically designed to address this issue. By doing so, the platform could allow the use of very potent payloads in more settings than previously possible, with the ambition of improving both safety and targeted efficacy of next-generation ADC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While still early in development, the data now available for our BiTAC-ADC platform indicate that our concept of selectively delivering and activating a toxic payload in tumor cells is working,” said Christoph Erkel, Ph.D., Vice President Research &amp; Development at VERAXA. “Following the presentation of our BiTAC-TCE strategy at the recent AACR Annual Meeting in April, these novel datasets on the BiTAC-ADC platform underpin that the company has two viable and clearly differentiated product platform technologies, which can be applied in a range of solid tumor indications by us and our potential future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16"/>
          <w:bdr w:val="single" w:sz="16" w:space="1" w:color="000000"/>
        </w:rPr>
      </w:pPr>
      <w:r>
        <w:rPr>
          <w:rFonts w:ascii="Arial;Helvetica;Sans-Serif" w:hAnsi="Arial;Helvetica;Sans-Serif"/>
          <w:b/>
          <w:i w:val="false"/>
          <w:caps w:val="false"/>
          <w:smallCaps w:val="false"/>
          <w:sz w:val="16"/>
          <w:bdr w:val="single" w:sz="16" w:space="1" w:color="000000"/>
        </w:rPr>
        <w:t>VERAXA Biotech AG / Talacker 35 / CH-8001 Zürich</w:t>
        <w:br/>
        <w:t>VERAXA Biotech GmbH / Im Neuenheimer Feld 584 / 69120 Heidelberg</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bispecific T cell engagers, bispecific ADCs and other innovative formats. Powered by a suite of transformative technologies and guided by rigorous quality-by-design principles, we are rapidly advancing our pipeline of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regular updates about VERAXA Biotech, visit https://investors.veraxa.com/ or follow us on LinkedIn, X (formerly known as Twitter) and Bluesky.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Forward-looking statements contained on this press release should be evaluated together with the many uncertainties that affect the Company’s business, particularly those identified in the risk factors section of the Company’s registration statement on Form F-4. These documents are available from the Securities and Exchange Commission, the Company website or from Company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 The press release may also contain certain non-GAAP financial measures, adjusted to exclude certain costs, expenses, gains and losses and other specified items. Reconciliations of these non-GAAP financial measures to the most comparable GAAP measures for a particular quarterly period are available on the Company’s website at www.veraxa.com.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16"/>
          <w:bdr w:val="single" w:sz="16" w:space="1" w:color="000000"/>
        </w:rPr>
      </w:pPr>
      <w:r>
        <w:rPr>
          <w:rFonts w:ascii="Arial;Helvetica;Sans-Serif" w:hAnsi="Arial;Helvetica;Sans-Serif"/>
          <w:b/>
          <w:i w:val="false"/>
          <w:caps w:val="false"/>
          <w:smallCaps w:val="false"/>
          <w:sz w:val="16"/>
          <w:bdr w:val="single" w:sz="16" w:space="1" w:color="000000"/>
        </w:rPr>
        <w:t>VERAXA Biotech AG / Talacker 35 / CH-8001 Zürich</w:t>
        <w:br/>
        <w:t>VERAXA Biotech GmbH / Im Neuenheimer Feld 584 / 69120 Heidelberg</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Contact</w:t>
      </w:r>
    </w:p>
    <w:p>
      <w:pPr>
        <w:pStyle w:val="TextBody"/>
        <w:bidi w:val="0"/>
        <w:jc w:val="left"/>
        <w:rPr>
          <w:caps w:val="false"/>
          <w:smallCaps w:val="false"/>
          <w:color w:val="000000"/>
        </w:rPr>
      </w:pPr>
      <w:r>
        <w:rPr>
          <w:caps w:val="false"/>
          <w:smallCaps w:val="false"/>
          <w:color w:val="000000"/>
        </w:rPr>
        <w:t> </w:t>
      </w:r>
    </w:p>
    <w:tbl>
      <w:tblPr>
        <w:tblW w:w="3680" w:type="dxa"/>
        <w:jc w:val="left"/>
        <w:tblInd w:w="0" w:type="dxa"/>
        <w:tblLayout w:type="fixed"/>
        <w:tblCellMar>
          <w:top w:w="0" w:type="dxa"/>
          <w:left w:w="0" w:type="dxa"/>
          <w:bottom w:w="0" w:type="dxa"/>
          <w:right w:w="0" w:type="dxa"/>
        </w:tblCellMar>
      </w:tblPr>
      <w:tblGrid>
        <w:gridCol w:w="3605"/>
        <w:gridCol w:w="75"/>
      </w:tblGrid>
      <w:tr>
        <w:trPr/>
        <w:tc>
          <w:tcPr>
            <w:tcW w:w="3605" w:type="dxa"/>
            <w:tcBorders/>
            <w:vAlign w:val="center"/>
          </w:tcPr>
          <w:p>
            <w:pPr>
              <w:pStyle w:val="TableContents"/>
              <w:bidi w:val="0"/>
              <w:spacing w:before="0" w:after="283"/>
              <w:jc w:val="left"/>
              <w:rPr>
                <w:b/>
                <w:color w:val="000000"/>
              </w:rPr>
            </w:pPr>
            <w:r>
              <w:rPr>
                <w:b/>
                <w:color w:val="000000"/>
              </w:rPr>
              <w:t>VERAXA Biotech AG - Corporate</w:t>
            </w:r>
          </w:p>
        </w:tc>
        <w:tc>
          <w:tcPr>
            <w:tcW w:w="75" w:type="dxa"/>
            <w:tcBorders/>
            <w:vAlign w:val="center"/>
          </w:tcPr>
          <w:p>
            <w:pPr>
              <w:pStyle w:val="TableContents"/>
              <w:bidi w:val="0"/>
              <w:spacing w:before="0" w:after="283"/>
              <w:jc w:val="left"/>
              <w:rPr>
                <w:color w:val="000000"/>
              </w:rPr>
            </w:pPr>
            <w:r>
              <w:rPr>
                <w:color w:val="000000"/>
              </w:rPr>
              <w:t> </w:t>
            </w:r>
          </w:p>
        </w:tc>
      </w:tr>
      <w:tr>
        <w:trPr/>
        <w:tc>
          <w:tcPr>
            <w:tcW w:w="3605" w:type="dxa"/>
            <w:tcBorders/>
            <w:vAlign w:val="center"/>
          </w:tcPr>
          <w:p>
            <w:pPr>
              <w:pStyle w:val="TableContents"/>
              <w:bidi w:val="0"/>
              <w:spacing w:before="0" w:after="283"/>
              <w:jc w:val="left"/>
              <w:rPr>
                <w:color w:val="000000"/>
              </w:rPr>
            </w:pPr>
            <w:r>
              <w:rPr>
                <w:color w:val="000000"/>
              </w:rPr>
              <w:t>Christoph Antz, Ph.D.</w:t>
              <w:br/>
              <w:t>Chief Executive Officer, Co-Founder</w:t>
              <w:br/>
              <w:t>investors@veraxa.com</w:t>
            </w:r>
          </w:p>
        </w:tc>
        <w:tc>
          <w:tcPr>
            <w:tcW w:w="75" w:type="dxa"/>
            <w:tcBorders/>
            <w:vAlign w:val="center"/>
          </w:tcPr>
          <w:p>
            <w:pPr>
              <w:pStyle w:val="TableContents"/>
              <w:bidi w:val="0"/>
              <w:spacing w:before="0" w:after="283"/>
              <w:jc w:val="left"/>
              <w:rPr>
                <w:color w:val="000000"/>
              </w:rPr>
            </w:pPr>
            <w:r>
              <w:rPr>
                <w:color w:val="000000"/>
              </w:rPr>
              <w:t> </w:t>
            </w:r>
          </w:p>
        </w:tc>
      </w:tr>
    </w:tbl>
    <w:p>
      <w:pPr>
        <w:pStyle w:val="TextBody"/>
        <w:bidi w:val="0"/>
        <w:jc w:val="left"/>
        <w:rPr>
          <w:caps w:val="false"/>
          <w:smallCaps w:val="false"/>
          <w:color w:val="000000"/>
        </w:rPr>
      </w:pPr>
      <w:r>
        <w:rPr>
          <w:caps w:val="false"/>
          <w:smallCaps w:val="false"/>
          <w:color w:val="000000"/>
        </w:rPr>
        <w:t> </w:t>
      </w:r>
    </w:p>
    <w:tbl>
      <w:tblPr>
        <w:tblW w:w="3245" w:type="dxa"/>
        <w:jc w:val="left"/>
        <w:tblInd w:w="0" w:type="dxa"/>
        <w:tblLayout w:type="fixed"/>
        <w:tblCellMar>
          <w:top w:w="0" w:type="dxa"/>
          <w:left w:w="0" w:type="dxa"/>
          <w:bottom w:w="0" w:type="dxa"/>
          <w:right w:w="0" w:type="dxa"/>
        </w:tblCellMar>
      </w:tblPr>
      <w:tblGrid>
        <w:gridCol w:w="3245"/>
      </w:tblGrid>
      <w:tr>
        <w:trPr/>
        <w:tc>
          <w:tcPr>
            <w:tcW w:w="3245" w:type="dxa"/>
            <w:tcBorders/>
            <w:vAlign w:val="center"/>
          </w:tcPr>
          <w:p>
            <w:pPr>
              <w:pStyle w:val="TableContents"/>
              <w:bidi w:val="0"/>
              <w:spacing w:before="0" w:after="283"/>
              <w:jc w:val="left"/>
              <w:rPr>
                <w:b/>
                <w:color w:val="000000"/>
              </w:rPr>
            </w:pPr>
            <w:r>
              <w:rPr>
                <w:b/>
                <w:color w:val="000000"/>
              </w:rPr>
              <w:t>For Media and Investors – U.S.</w:t>
            </w:r>
          </w:p>
        </w:tc>
      </w:tr>
      <w:tr>
        <w:trPr/>
        <w:tc>
          <w:tcPr>
            <w:tcW w:w="3245" w:type="dxa"/>
            <w:tcBorders/>
            <w:vAlign w:val="center"/>
          </w:tcPr>
          <w:p>
            <w:pPr>
              <w:pStyle w:val="TableContents"/>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Brandon Weiner</w:t>
            </w:r>
          </w:p>
          <w:p>
            <w:pPr>
              <w:pStyle w:val="TableContents"/>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ICR Healthcare</w:t>
            </w:r>
          </w:p>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VERAXA@icrhealthcare.com</w:t>
            </w:r>
          </w:p>
        </w:tc>
      </w:tr>
    </w:tbl>
    <w:p>
      <w:pPr>
        <w:pStyle w:val="TextBody"/>
        <w:bidi w:val="0"/>
        <w:jc w:val="left"/>
        <w:rPr>
          <w:caps w:val="false"/>
          <w:smallCaps w:val="false"/>
          <w:color w:val="000000"/>
        </w:rPr>
      </w:pPr>
      <w:r>
        <w:rPr>
          <w:caps w:val="false"/>
          <w:smallCaps w:val="false"/>
          <w:color w:val="000000"/>
        </w:rPr>
        <w:t> </w:t>
      </w:r>
    </w:p>
    <w:tbl>
      <w:tblPr>
        <w:tblW w:w="2660" w:type="dxa"/>
        <w:jc w:val="left"/>
        <w:tblInd w:w="0" w:type="dxa"/>
        <w:tblLayout w:type="fixed"/>
        <w:tblCellMar>
          <w:top w:w="0" w:type="dxa"/>
          <w:left w:w="0" w:type="dxa"/>
          <w:bottom w:w="0" w:type="dxa"/>
          <w:right w:w="0" w:type="dxa"/>
        </w:tblCellMar>
      </w:tblPr>
      <w:tblGrid>
        <w:gridCol w:w="2585"/>
        <w:gridCol w:w="75"/>
      </w:tblGrid>
      <w:tr>
        <w:trPr/>
        <w:tc>
          <w:tcPr>
            <w:tcW w:w="2585" w:type="dxa"/>
            <w:tcBorders/>
            <w:vAlign w:val="center"/>
          </w:tcPr>
          <w:p>
            <w:pPr>
              <w:pStyle w:val="TableContents"/>
              <w:bidi w:val="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 Media and Investors – EU</w:t>
            </w:r>
          </w:p>
          <w:p>
            <w:pPr>
              <w:pStyle w:val="TableContents"/>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Mario Brkulj</w:t>
            </w:r>
          </w:p>
          <w:p>
            <w:pPr>
              <w:pStyle w:val="TableContents"/>
              <w:bidi w:val="0"/>
              <w:spacing w:before="0" w:after="283"/>
              <w:jc w:val="left"/>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media@veraxa.com</w:t>
            </w:r>
          </w:p>
        </w:tc>
        <w:tc>
          <w:tcPr>
            <w:tcW w:w="75" w:type="dxa"/>
            <w:tcBorders/>
            <w:vAlign w:val="center"/>
          </w:tcPr>
          <w:p>
            <w:pPr>
              <w:pStyle w:val="TableContents"/>
              <w:bidi w:val="0"/>
              <w:spacing w:before="0" w:after="283"/>
              <w:jc w:val="left"/>
              <w:rPr>
                <w:color w:val="000000"/>
              </w:rPr>
            </w:pPr>
            <w:r>
              <w:rPr>
                <w:color w:val="000000"/>
              </w:rPr>
              <w:t> </w:t>
            </w:r>
          </w:p>
        </w:tc>
      </w:tr>
    </w:tbl>
    <w:p>
      <w:pPr>
        <w:pStyle w:val="TextBody"/>
        <w:bidi w:val="0"/>
        <w:jc w:val="left"/>
        <w:rPr>
          <w:caps w:val="false"/>
          <w:smallCaps w:val="false"/>
          <w:color w:val="000000"/>
        </w:rPr>
      </w:pPr>
      <w:r>
        <w:rPr>
          <w:caps w:val="false"/>
          <w:smallCaps w:val="false"/>
          <w:color w:val="000000"/>
        </w:rPr>
        <w:t> </w:t>
      </w:r>
    </w:p>
    <w:p>
      <w:pPr>
        <w:pStyle w:val="TextBody"/>
        <w:bidi w:val="0"/>
        <w:spacing w:before="0" w:after="0"/>
        <w:jc w:val="center"/>
        <w:rPr>
          <w:rFonts w:ascii="Arial;Helvetica;Sans-Serif" w:hAnsi="Arial;Helvetica;Sans-Serif"/>
          <w:b/>
          <w:i w:val="false"/>
          <w:caps w:val="false"/>
          <w:smallCaps w:val="false"/>
          <w:sz w:val="16"/>
          <w:bdr w:val="single" w:sz="16" w:space="1" w:color="000000"/>
        </w:rPr>
      </w:pPr>
      <w:r>
        <w:rPr>
          <w:rFonts w:ascii="Arial;Helvetica;Sans-Serif" w:hAnsi="Arial;Helvetica;Sans-Serif"/>
          <w:b/>
          <w:i w:val="false"/>
          <w:caps w:val="false"/>
          <w:smallCaps w:val="false"/>
          <w:sz w:val="16"/>
          <w:bdr w:val="single" w:sz="16" w:space="1" w:color="000000"/>
        </w:rPr>
        <w:t>VERAXA Biotech AG / Talacker 35 / CH-8001 Zürich</w:t>
        <w:br/>
        <w:t>VERAXA Biotech GmbH / Im Neuenheimer Feld 584 / 69120 Heidelberg</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1238</Words>
  <Characters>7192</Characters>
  <CharactersWithSpaces>8454</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