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veraxabiotechag_424b3.htm"/>
      <w:bookmarkStart w:id="1" w:name="ksveraxabiotechag_424b3"/>
      <w:bookmarkEnd w:id="0"/>
      <w:bookmarkEnd w:id="1"/>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Filed Pursuant to Rule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424(b)(3)</w:t>
      </w:r>
    </w:p>
    <w:p>
      <w:pPr>
        <w:pStyle w:val="TextBody"/>
        <w:bidi w:val="0"/>
        <w:jc w:val="right"/>
        <w:rPr>
          <w:caps w:val="false"/>
          <w:smallCaps w:val="false"/>
        </w:rPr>
      </w:pPr>
      <w:r>
        <w:rPr>
          <w:caps w:val="false"/>
          <w:smallCaps w:val="false"/>
        </w:rPr>
        <w:t> </w:t>
      </w:r>
      <w:r>
        <w:rPr>
          <w:rFonts w:ascii="Times New Roman;Times;Serif" w:hAnsi="Times New Roman;Times;Serif"/>
          <w:b/>
          <w:i w:val="false"/>
          <w:caps w:val="false"/>
          <w:smallCaps w:val="false"/>
          <w:sz w:val="20"/>
        </w:rPr>
        <w:t>Registration No. 333-297908</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1</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 Prospectus dated August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10, 2026)</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Veraxa Biotech AG</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19,436,739 ORDINARY SHARES UNDERLYING WARRANTS,</w:t>
        <w:br/>
        <w:t>UP TO 6,786,739 PRIVATE WARRANTS AND UP TO 120,295,385 ORDINARY SHARES</w:t>
        <w:br/>
        <w:t>OF VERAXA BIOTECH AG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supplements the prospectus dated August 10, 2026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which forms a part of our registration statement on Form F-1 (No. 333-297908). This prospectus supplement is being filed to update and supplement the information in the Prospectus with the information contained in our Current Report on Form 6-K filed with the Securities and Exchange Commission on September 4, 2026 (the “</w:t>
      </w: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Accordingly, we have attached the Current Report to this prospectus supplement.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and this prospectus supplement relate to the issuance by Veraxa Biotech AG of up to 19,436,739 Ordinary Shares, par value CHF 1/113.25, including (i) 12,650,000 Ordinary Shares issuable upon the exercise of the Public Warrants to purchase Ordinary Shares at an exercise price of US$11.50 per share, which were issued on June 10, 2026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in exchange for the SPAC Public Warrants; and (ii) 6,786,739 Ordinary Shares issuable upon the exercise of the Private Warrants, to purchase Ordinary Shares at an exercise price of US$11.50 per share, which were issued on the Closing Date in exchange for the SPAC Private Warrants. The SPAC Public Warrants were originally underlying the SPAC Units, which were issued to the public in the initial public offering of the SPAC, with each SPAC Unit consisting of one (1) SPAC Class A Ordinary Share and one-half of one (1/2) SPAC Public Warrant, separated at the Closing of the Business Combination. The SPAC Private Warrants were originally underlying the SPAC Units, which were issued to the Sponsor and the underwriters in a private placement simultaneously with the closing of the initial public offering of the SPAC, with each SPAC Unit consisting of one SPAC Class A Ordinary Share and one-half of one redeemable SPAC Private Warrant, separated at the Closing of the 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and this prospectus supplement also relate to the potential offer and sale from time to time by the selling securityholders named in the Prospectus and this prospectus supplement or their pledgees, donees, transferees, assignees or other successors in interest (that receive any of the securities as a gift, distribution, or other non-sale related transfer) (collectively, the “</w:t>
      </w:r>
      <w:r>
        <w:rPr>
          <w:rFonts w:ascii="Times New Roman;Times;Serif" w:hAnsi="Times New Roman;Times;Serif"/>
          <w:b/>
          <w:i w:val="false"/>
          <w:caps w:val="false"/>
          <w:smallCaps w:val="false"/>
          <w:sz w:val="20"/>
        </w:rPr>
        <w:t>Selling Securityholders</w:t>
      </w:r>
      <w:r>
        <w:rPr>
          <w:rFonts w:ascii="Times New Roman;Times;Serif" w:hAnsi="Times New Roman;Times;Serif"/>
          <w:b w:val="false"/>
          <w:i w:val="false"/>
          <w:caps w:val="false"/>
          <w:smallCaps w:val="false"/>
          <w:sz w:val="20"/>
        </w:rPr>
        <w:t>”) of up to (i) 6,786,739 Private Warrants and (ii) 120,295,385 Ordinary Shares, which consist of:</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both"/>
              <w:rPr/>
            </w:pPr>
            <w:r>
              <w:rPr/>
              <w:t>i.</w:t>
            </w:r>
          </w:p>
        </w:tc>
        <w:tc>
          <w:tcPr>
            <w:tcW w:w="10050" w:type="dxa"/>
            <w:tcBorders/>
            <w:vAlign w:val="center"/>
          </w:tcPr>
          <w:p>
            <w:pPr>
              <w:pStyle w:val="TableContents"/>
              <w:bidi w:val="0"/>
              <w:spacing w:before="0" w:after="283"/>
              <w:jc w:val="both"/>
              <w:rPr/>
            </w:pPr>
            <w:r>
              <w:rPr/>
              <w:t>6,100,000 outstanding Ordinary Shares issued upon conversion on a one-for-one basis of SPAC Class B Ordinary Shares;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both"/>
              <w:rPr/>
            </w:pPr>
            <w:r>
              <w:rPr/>
              <w:t>ii.</w:t>
            </w:r>
          </w:p>
        </w:tc>
        <w:tc>
          <w:tcPr>
            <w:tcW w:w="9990" w:type="dxa"/>
            <w:tcBorders/>
            <w:vAlign w:val="center"/>
          </w:tcPr>
          <w:p>
            <w:pPr>
              <w:pStyle w:val="TableContents"/>
              <w:bidi w:val="0"/>
              <w:spacing w:before="0" w:after="283"/>
              <w:jc w:val="both"/>
              <w:rPr/>
            </w:pPr>
            <w:r>
              <w:rPr/>
              <w:t>99,695,385 outstanding Ordinary Shares issued to Company Shareholders that are directors, officers and affiliates of the Company in the Business Combination;</w:t>
            </w:r>
          </w:p>
        </w:tc>
      </w:tr>
    </w:tbl>
    <w:p>
      <w:pPr>
        <w:pStyle w:val="TextBody"/>
        <w:bidi w:val="0"/>
        <w:jc w:val="left"/>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275"/>
        <w:gridCol w:w="8900"/>
      </w:tblGrid>
      <w:tr>
        <w:trPr/>
        <w:tc>
          <w:tcPr>
            <w:tcW w:w="275" w:type="dxa"/>
            <w:tcBorders/>
            <w:vAlign w:val="center"/>
          </w:tcPr>
          <w:p>
            <w:pPr>
              <w:pStyle w:val="TableContents"/>
              <w:bidi w:val="0"/>
              <w:spacing w:before="0" w:after="283"/>
              <w:jc w:val="both"/>
              <w:rPr/>
            </w:pPr>
            <w:r>
              <w:rPr/>
              <w:t>iii.</w:t>
            </w:r>
          </w:p>
        </w:tc>
        <w:tc>
          <w:tcPr>
            <w:tcW w:w="8900" w:type="dxa"/>
            <w:tcBorders/>
            <w:vAlign w:val="center"/>
          </w:tcPr>
          <w:p>
            <w:pPr>
              <w:pStyle w:val="TableContents"/>
              <w:bidi w:val="0"/>
              <w:spacing w:before="0" w:after="283"/>
              <w:jc w:val="both"/>
              <w:rPr/>
            </w:pPr>
            <w:r>
              <w:rPr/>
              <w:t>3,500,000 Ordinary Shares issued to Cantor pursuant to the Fee Modification Agreement; and</w:t>
            </w:r>
          </w:p>
        </w:tc>
      </w:tr>
    </w:tbl>
    <w:p>
      <w:pPr>
        <w:pStyle w:val="TextBody"/>
        <w:bidi w:val="0"/>
        <w:jc w:val="left"/>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75"/>
        <w:gridCol w:w="9860"/>
      </w:tblGrid>
      <w:tr>
        <w:trPr/>
        <w:tc>
          <w:tcPr>
            <w:tcW w:w="275" w:type="dxa"/>
            <w:tcBorders/>
            <w:vAlign w:val="center"/>
          </w:tcPr>
          <w:p>
            <w:pPr>
              <w:pStyle w:val="TableContents"/>
              <w:bidi w:val="0"/>
              <w:spacing w:before="0" w:after="283"/>
              <w:jc w:val="both"/>
              <w:rPr/>
            </w:pPr>
            <w:r>
              <w:rPr/>
              <w:t>iv.</w:t>
            </w:r>
          </w:p>
        </w:tc>
        <w:tc>
          <w:tcPr>
            <w:tcW w:w="9860" w:type="dxa"/>
            <w:tcBorders/>
            <w:vAlign w:val="center"/>
          </w:tcPr>
          <w:p>
            <w:pPr>
              <w:pStyle w:val="TableContents"/>
              <w:bidi w:val="0"/>
              <w:spacing w:before="0" w:after="283"/>
              <w:jc w:val="both"/>
              <w:rPr/>
            </w:pPr>
            <w:r>
              <w:rPr/>
              <w:t>Up to 11,000,000 Ordinary Shares issuable upon exercise of the HTC Note and the High Trail Warrant.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Global Market under the symbol “VRXA.” On September 3, 2026, the closing price of our Ordinary Shares was $1.53 per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Warrants are listed on the Nasdaq Capital Market under the symbol “VRXAW.” On September 3, 2026, the closing price of our Warrants was $0.08 per share.</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any sale of the securities by the Selling Securityholders. We will receive proceeds from the exercise of Warrants if the Warrants are exercised for cash. The likelihood that Warrant holders will exercise the Warrants and any cash proceeds that we would receive are dependent upon the market price of the Ordinary Shares, among other things. If the market price for the Ordinary Shares is less than US$11.50 per share, we believe Warrant holders will be unlikely to exercise their Warrants. There is no assurance that the Warrants will be “in the money” prior to their expiration or that the Warrant holders will exercise their Warrants. Holders of the Warrants have the option to exercise the Private Warrants on a cashless basis in accordance with the Warrant Agreement. To the extent that any Warrants are exercised on a cashless basis, the amount of cash we would receive from the exercise of the Warrants will decrease. We will pay the expenses associated with registering the sales by the Selling Securityholders, as described in more details in the section titled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appearing in the Prospectus.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that term is used in the Jumpstart Our Business Startups Act of 2012 and, as such, have elected to comply with certain reduced public company reporting requirements for the Prospectus, this prospectus supplement and future filings.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within the meaning of the rules under the Exchange Act, as such, we are permitted to follow the corporate governance practices of our home country in lieu of the corporate governance standards of the Nasdaq applicable to U.S. domestic companies. For example, we are not required to have a majority of the Board consisting of independent directors nor have a compensation committee or a nominating and corporate governance committee consisting entirely of independent directors. We intend to continue to follow our home country’s corporate governance practices as long as we remain a foreign private issuer. As a result, our shareholders may not have the same protection afforded to shareholders of U.S. domestic companies that are subject to corporate governance requirements of the Nasdaq. As a foreign private issuer, we are also subject to reduced disclosure requirements and are exempt from certain provisions of the U.S. securities rules and regulations applicable to U.S. domestic issuers such as the rules regulating solicitation of proxies and certain insider reporting and short-swing profit rules.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See “</w:t>
      </w:r>
      <w:r>
        <w:rPr>
          <w:rFonts w:ascii="Times New Roman;Times;Serif" w:hAnsi="Times New Roman;Times;Serif"/>
          <w:b/>
          <w:i/>
          <w:caps w:val="false"/>
          <w:smallCaps w:val="false"/>
          <w:sz w:val="20"/>
          <w:u w:val="single"/>
        </w:rPr>
        <w:t>Risk Factors</w:t>
      </w:r>
      <w:r>
        <w:rPr>
          <w:rFonts w:ascii="Times New Roman;Times;Serif" w:hAnsi="Times New Roman;Times;Serif"/>
          <w:b/>
          <w:i w:val="false"/>
          <w:caps w:val="false"/>
          <w:smallCaps w:val="false"/>
          <w:sz w:val="20"/>
        </w:rPr>
        <w:t>” beginning on page 20 of the Prospectus for a discussion of information that should be considered in connection with an investment in our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United States Securities and Exchange Commission nor any other regulatory body has approved or disapproved of these securities or passed upon the accuracy or adequacy of the Prospectus and this prospectus supplement. Any representation to the contrary is a criminal offense.</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Prospectus dated September 4, 2026</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UNITED STATES</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SECURITIES AND EXCHANGE COMMISSION</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REPORT OF FOREIGN PRIVATE ISSUER</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PURSUANT TO RULE 13A-16 OR 15D-16</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For the month of September 2026</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Commission File Number: 001-43342</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8"/>
        </w:rPr>
      </w:pPr>
      <w:r>
        <w:rPr>
          <w:rFonts w:ascii="Times New Roman" w:hAnsi="Times New Roman"/>
          <w:b/>
          <w:i w:val="false"/>
          <w:caps w:val="false"/>
          <w:smallCaps w:val="false"/>
          <w:sz w:val="28"/>
        </w:rPr>
        <w:t>Veraxa Biotech AG</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Talacker 35</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8001 Zurich, Switzerland</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(Address of principal executive office)</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files or will file annual reports under cover of Form 20-F or Form 40-F.</w:t>
      </w:r>
    </w:p>
    <w:p>
      <w:pPr>
        <w:pStyle w:val="TextBody"/>
        <w:bidi w:val="0"/>
        <w:jc w:val="both"/>
        <w:rPr>
          <w:caps w:val="false"/>
          <w:smallCaps w:val="false"/>
        </w:rPr>
      </w:pPr>
      <w:r>
        <w:rPr>
          <w:caps w:val="false"/>
          <w:smallCaps w:val="false"/>
        </w:rPr>
        <w:t> </w:t>
      </w:r>
    </w:p>
    <w:p>
      <w:pPr>
        <w:pStyle w:val="TextBody"/>
        <w:bidi w:val="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Form 20-F ☒          Form 40-F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if the registrant is submitting the Form 6-K in paper as permitted by Regulation S-T Rule 101(b)(1):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if the registrant is submitting the Form 6-K in paper as permitted by Regulation S-T Rule 101(b)(7): ☐</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 Appointment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2026, Veraxa Biotech AG (the “Company”) issued a press release announcing the appointment of Raju Willener as Chief Financial Officer (CFO). In his position as CFO, Mr. Willener will act as the Company’s principal financial officer and principal accounting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Willener is an accomplished finance executive with more than three decades of international experience spanning investment banking, corporate finance, asset management and strategic leadership. Throughout his career, he has held senior roles, including Chief Financial Officer, Chief Investment Officer, Country Head and Head of Corporate Finance across the U.S., Europe and Asia. Prior to joining VERAXA, Mr. Willener served as Director of Corporate Development at Exentis Group AG, before being appointed Chief Financial Officer in 2025, where he led M&amp;A initiatives, financial strategy and key corporate functions. Earlier in his career, Mr. Willener held senior executive and investment leadership positions at top-tier global financial institutions and investment firms, with responsibilities spanning corporate finance, capital markets, investor relations and the oversight of investment portfolios exceeding CHF 30 billion in assets under management. Mr. Willener holds an MBA and a Master’s degree in Accounting and Finance and is qualified in Financial Risk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attached hereto as Exhibit 99.1 and is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jc w:val="both"/>
        <w:rPr>
          <w:caps w:val="false"/>
          <w:smallCaps w:val="false"/>
        </w:rPr>
      </w:pPr>
      <w:r>
        <w:rPr>
          <w:caps w:val="false"/>
          <w:smallCaps w:val="false"/>
        </w:rPr>
        <w:t> </w:t>
      </w:r>
    </w:p>
    <w:tbl>
      <w:tblPr>
        <w:tblW w:w="3895" w:type="dxa"/>
        <w:jc w:val="left"/>
        <w:tblInd w:w="0" w:type="dxa"/>
        <w:tblLayout w:type="fixed"/>
        <w:tblCellMar>
          <w:top w:w="0" w:type="dxa"/>
          <w:left w:w="0" w:type="dxa"/>
          <w:bottom w:w="28" w:type="dxa"/>
          <w:right w:w="0" w:type="dxa"/>
        </w:tblCellMar>
      </w:tblPr>
      <w:tblGrid>
        <w:gridCol w:w="665"/>
        <w:gridCol w:w="60"/>
        <w:gridCol w:w="317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7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70" w:type="dxa"/>
            <w:tcBorders/>
            <w:shd w:fill="CCEEFF" w:val="clear"/>
            <w:tcMar>
              <w:bottom w:w="0" w:type="dxa"/>
            </w:tcMar>
            <w:vAlign w:val="center"/>
          </w:tcPr>
          <w:p>
            <w:pPr>
              <w:pStyle w:val="TableContents"/>
              <w:bidi w:val="0"/>
              <w:spacing w:before="0" w:after="283"/>
              <w:jc w:val="both"/>
              <w:rPr/>
            </w:pPr>
            <w:hyperlink w:anchor="veraxabiotechag_ex99-1">
              <w:r>
                <w:rPr>
                  <w:rStyle w:val="InternetLink"/>
                  <w:rFonts w:ascii="Times New Roman;Times;Serif" w:hAnsi="Times New Roman;Times;Serif"/>
                  <w:b w:val="false"/>
                  <w:i w:val="false"/>
                  <w:caps w:val="false"/>
                  <w:smallCaps w:val="false"/>
                  <w:sz w:val="20"/>
                </w:rPr>
                <w:t>Press Release dated September 4, 2026</w:t>
              </w:r>
            </w:hyperlink>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SIGNATURE</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caps w:val="false"/>
          <w:smallCaps w:val="false"/>
        </w:rPr>
      </w:pPr>
      <w:r>
        <w:rPr>
          <w:caps w:val="false"/>
          <w:smallCaps w:val="false"/>
        </w:rPr>
        <w:t> </w:t>
      </w:r>
    </w:p>
    <w:tbl>
      <w:tblPr>
        <w:tblW w:w="5055" w:type="dxa"/>
        <w:jc w:val="left"/>
        <w:tblInd w:w="0" w:type="dxa"/>
        <w:tblLayout w:type="fixed"/>
        <w:tblCellMar>
          <w:top w:w="0" w:type="dxa"/>
          <w:left w:w="0" w:type="dxa"/>
          <w:bottom w:w="0" w:type="dxa"/>
          <w:right w:w="0" w:type="dxa"/>
        </w:tblCellMar>
      </w:tblPr>
      <w:tblGrid>
        <w:gridCol w:w="2390"/>
        <w:gridCol w:w="710"/>
        <w:gridCol w:w="1955"/>
      </w:tblGrid>
      <w:tr>
        <w:trPr/>
        <w:tc>
          <w:tcPr>
            <w:tcW w:w="2390"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VERAXA BIOTECH AG</w:t>
            </w:r>
          </w:p>
        </w:tc>
      </w:tr>
      <w:tr>
        <w:trPr/>
        <w:tc>
          <w:tcPr>
            <w:tcW w:w="2390"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Date: September 4, 2026</w:t>
            </w:r>
          </w:p>
        </w:tc>
        <w:tc>
          <w:tcPr>
            <w:tcW w:w="710" w:type="dxa"/>
            <w:tcBorders/>
            <w:vAlign w:val="center"/>
          </w:tcPr>
          <w:p>
            <w:pPr>
              <w:pStyle w:val="TableContents"/>
              <w:bidi w:val="0"/>
              <w:spacing w:before="0" w:after="283"/>
              <w:jc w:val="left"/>
              <w:rPr/>
            </w:pPr>
            <w:r>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Christoph Antz</w:t>
            </w:r>
          </w:p>
        </w:tc>
      </w:tr>
      <w:tr>
        <w:trPr/>
        <w:tc>
          <w:tcPr>
            <w:tcW w:w="23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195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Christoph Antz</w:t>
            </w:r>
          </w:p>
        </w:tc>
      </w:tr>
      <w:tr>
        <w:trPr/>
        <w:tc>
          <w:tcPr>
            <w:tcW w:w="23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195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Chief Executive Officer</w:t>
            </w:r>
          </w:p>
        </w:tc>
      </w:tr>
    </w:tbl>
    <w:p>
      <w:pPr>
        <w:pStyle w:val="TextBody"/>
        <w:bidi w:val="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590"/>
        <w:gridCol w:w="287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7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Oliver Baumann</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87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Oliver Baumann</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 w:name="veraxabiotechag_ex99-1"/>
      <w:bookmarkEnd w:id="2"/>
      <w:r>
        <w:rPr>
          <w:rFonts w:ascii="Times New Roman;Times;Serif" w:hAnsi="Times New Roman;Times;Serif"/>
          <w:b/>
          <w:i w:val="false"/>
          <w:caps w:val="false"/>
          <w:smallCaps w:val="false"/>
          <w:sz w:val="20"/>
        </w:rPr>
        <w:t>Exhibit 99.1</w:t>
      </w:r>
    </w:p>
    <w:p>
      <w:pPr>
        <w:pStyle w:val="TextBody"/>
        <w:bidi w:val="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43750" cy="1409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color w:val="59A1A6"/>
          <w:sz w:val="20"/>
        </w:rPr>
      </w:pPr>
      <w:r>
        <w:rPr>
          <w:rFonts w:ascii="Times New Roman;Times;Serif" w:hAnsi="Times New Roman;Times;Serif"/>
          <w:b/>
          <w:i w:val="false"/>
          <w:caps w:val="false"/>
          <w:smallCaps w:val="false"/>
          <w:color w:val="59A1A6"/>
          <w:sz w:val="20"/>
        </w:rPr>
        <w:t>Press Release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color w:val="59A1A6"/>
          <w:sz w:val="24"/>
        </w:rPr>
      </w:pPr>
      <w:r>
        <w:rPr>
          <w:rFonts w:ascii="Times New Roman;Times;Serif" w:hAnsi="Times New Roman;Times;Serif"/>
          <w:b/>
          <w:i w:val="false"/>
          <w:caps w:val="false"/>
          <w:smallCaps w:val="false"/>
          <w:color w:val="59A1A6"/>
          <w:sz w:val="24"/>
        </w:rPr>
        <w:t>VERAXA Biotech Appoints Raju Willener as Chief Financial Officer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Mr. Willener brings more than three decades of global capital markets and corporate finance experience to support advancement of the Company’s pipeline of potential best-in-class therapies led by its BiTAC</w:t>
      </w:r>
      <w:r>
        <w:rPr>
          <w:rFonts w:ascii="Times New Roman;Times;Serif" w:hAnsi="Times New Roman;Times;Serif"/>
          <w:b w:val="false"/>
          <w:i/>
          <w:caps w:val="false"/>
          <w:smallCaps w:val="false"/>
          <w:position w:val="7"/>
          <w:sz w:val="16"/>
          <w:sz w:val="20"/>
        </w:rPr>
        <w:t>®</w:t>
      </w:r>
      <w:r>
        <w:rPr>
          <w:rFonts w:ascii="Times New Roman;Times;Serif" w:hAnsi="Times New Roman;Times;Serif"/>
          <w:b w:val="false"/>
          <w:i/>
          <w:caps w:val="false"/>
          <w:smallCaps w:val="false"/>
          <w:sz w:val="20"/>
        </w:rPr>
        <w:t xml:space="preserve"> platform</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ZURICH, SWITZERLAND – September 4, 2026 –</w:t>
      </w:r>
      <w:r>
        <w:rPr>
          <w:rFonts w:ascii="Times New Roman;Times;Serif" w:hAnsi="Times New Roman;Times;Serif"/>
          <w:b w:val="false"/>
          <w:i w:val="false"/>
          <w:caps w:val="false"/>
          <w:smallCaps w:val="false"/>
          <w:sz w:val="20"/>
        </w:rPr>
        <w:t xml:space="preserve"> VERAXA Biotech AG (NASDAQ: VRXA; “VERAXA” or the “Company”), a leading developer of next-generation antibody-based cancer therapies, today announced the appointment of Raju Willener as Chief Financial Officer (CFO), effective immediately. Mr. Willener will report to Christoph Antz, Ph.D., Chief Executive Officer and Co-Founder. Mr. Willener brings more than three decades of financial leadership across global capital markets and every stage of the biopharmaceutical development process.</w:t>
      </w:r>
    </w:p>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delighted to welcome Raju at an important stage in the Company’s evolution,” said Christoph Antz, Ph.D., CEO and Co-Founder of VERAXA. “His extensive experience in global capital markets, corporate finance, M&amp;A and investment management adds significant financial and strategic depth to our leadership team. As we advance our proprietary BiTAC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technology platform and growing oncology pipeline, Raju’s expertise will be highly valuable in optimizing our capital strategy, evaluating strategic opportunities and supporting disciplined execution and long-term shareholder value creation. At the same time, we would like to extend a special thank you to Carl von Halem for his outstanding and great support as the former CFO of VERAXA.”</w:t>
      </w:r>
    </w:p>
    <w:p>
      <w:pPr>
        <w:pStyle w:val="TextBody"/>
        <w:bidi w:val="0"/>
        <w:spacing w:lineRule="auto" w:line="256" w:before="0" w:after="0"/>
        <w:ind w:left="0" w:right="0" w:hanging="0"/>
        <w:jc w:val="left"/>
        <w:rPr>
          <w:caps w:val="false"/>
          <w:smallCaps w:val="false"/>
        </w:rPr>
      </w:pPr>
      <w:r>
        <w:rPr>
          <w:caps w:val="false"/>
          <w:smallCaps w:val="false"/>
        </w:rPr>
        <w:t> </w:t>
      </w:r>
    </w:p>
    <w:p>
      <w:pPr>
        <w:pStyle w:val="TextBody"/>
        <w:bidi w:val="0"/>
        <w:spacing w:lineRule="auto" w:line="25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Willener is an accomplished finance executive with more than three decades of international experience spanning investment banking, corporate finance, asset management and strategic leadership. Throughout his career, he has held senior roles, including Chief Financial Officer, Chief Investment Officer, Country Head and Head of Corporate Finance across the U.S., Europe and Asia.</w:t>
      </w:r>
    </w:p>
    <w:p>
      <w:pPr>
        <w:pStyle w:val="TextBody"/>
        <w:bidi w:val="0"/>
        <w:spacing w:lineRule="auto" w:line="25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joining VERAXA, Mr. Willener served as Director of Corporate Development at Exentis Group AG, before being appointed Chief Financial Officer in 2025, where he led M&amp;A initiatives, financial strategy and key corporate functions.</w:t>
      </w:r>
    </w:p>
    <w:p>
      <w:pPr>
        <w:pStyle w:val="TextBody"/>
        <w:bidi w:val="0"/>
        <w:spacing w:lineRule="auto" w:line="25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Earlier in his career, Mr. Willener held senior executive and investment leadership positions at top-tier global financial institutions and investment firms, with responsibilities spanning corporate finance, capital markets, investor relations and the oversight of investment portfolios exceeding CHF 30 billion in assets under management.</w:t>
      </w:r>
    </w:p>
    <w:p>
      <w:pPr>
        <w:pStyle w:val="TextBody"/>
        <w:bidi w:val="0"/>
        <w:spacing w:lineRule="auto" w:line="25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Willener holds an MBA and a Master’s degree in Accounting and Finance and is qualified in Financial Risk Management.</w:t>
      </w:r>
    </w:p>
    <w:p>
      <w:pPr>
        <w:pStyle w:val="TextBody"/>
        <w:bidi w:val="0"/>
        <w:spacing w:lineRule="auto" w:line="25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VERAXA has built a highly differentiated technology platform and a compelling oncology pipeline at an important stage of its development,” said Raju Willener. “I am excited to join the Company and work alongside Christoph and the leadership team to further strengthen VERAXA’s financial and capital markets strategy, support disciplined capital allocation and pursue strategic opportunities that can accelerate development of a differentiated pipeline and create sustainable long-term value for shareholders.”</w:t>
      </w:r>
    </w:p>
    <w:p>
      <w:pPr>
        <w:pStyle w:val="TextBody"/>
        <w:bidi w:val="0"/>
        <w:spacing w:lineRule="auto" w:line="256" w:before="0" w:after="0"/>
        <w:ind w:left="0" w:right="0" w:hanging="0"/>
        <w:jc w:val="left"/>
        <w:rPr>
          <w:caps w:val="false"/>
          <w:smallCaps w:val="false"/>
          <w:color w:val="393C40"/>
        </w:rPr>
      </w:pPr>
      <w:r>
        <w:rPr>
          <w:caps w:val="false"/>
          <w:smallCaps w:val="false"/>
          <w:color w:val="393C40"/>
        </w:rPr>
        <w:t> </w:t>
      </w:r>
    </w:p>
    <w:p>
      <w:pPr>
        <w:pStyle w:val="TextBody"/>
        <w:bidi w:val="0"/>
        <w:spacing w:lineRule="auto" w:line="256" w:before="0" w:after="0"/>
        <w:ind w:left="0" w:right="0" w:hanging="0"/>
        <w:jc w:val="left"/>
        <w:rPr>
          <w:caps w:val="false"/>
          <w:smallCaps w:val="false"/>
          <w:color w:val="393C40"/>
        </w:rPr>
      </w:pPr>
      <w:r>
        <w:rPr>
          <w:caps w:val="false"/>
          <w:smallCaps w:val="false"/>
          <w:color w:val="393C40"/>
        </w:rPr>
        <w:t> </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caps w:val="false"/>
          <w:smallCaps w:val="false"/>
        </w:rPr>
      </w:pPr>
      <w:r>
        <w:rPr>
          <w:caps w:val="false"/>
          <w:smallCaps w:val="false"/>
        </w:rPr>
        <w:drawing>
          <wp:inline distT="0" distB="0" distL="0" distR="0">
            <wp:extent cx="7143750" cy="1409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VERAXA Biotech AG (NASDAQ: VRXA)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is building a premier engine for the discovery and development of next-generation antibody-based cancer therapeutics, powered by a suite of transformative technologies and guided by rigorous quality-by-design principles. The Company is rapidly advancing its pipeline of conditionally active T cell engagers (BiTAC-TCEs), bispecific antibody-drug conjugates (bsADCs), and proprietary BiTAC formats into clinical development. Uniquely, VERAXA has implemented FDA-aligned New Approach Methodologies across all preclinical programs, enabling faster clinical advancement while reducing reliance on animal testing. Founded on scientific breakthroughs from the European Molecular Biology Laboratory (EMBL), a world-renowned institution for pioneering life science research, VERAXA combines innovation with responsible research practices.</w:t>
      </w:r>
    </w:p>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regular updates about VERAXA Biotech, visit www.veraxa.com or follow us on LinkedIn, X (formerly known as Twitter) and Bluesky.</w:t>
      </w:r>
    </w:p>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BiTAC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is a registered trademark of VERAXA Biotech GmbH.</w:t>
      </w:r>
    </w:p>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contain “forward-looking statements” within the meaning of the Private Securities Litigation Reform Act of 1995. All statements that address activities, events, or developments that VERAXA Biotech AG (the “Company”) intends, expects, plans, projects, believes, or anticipates will or may occur in the future are forward-looking statements, including the Company’s ability to identify, secure, and maintain key personnel and the ability of its technological platform to produce transformative therapeutics. Such forward-looking statements are based on current expectations and involve inherent risks and uncertainties, including factors that could delay, divert, or change any of them, and could cause actual outcomes and results to differ materially from current expectations. No forward-looking statement can be guaranteed. Forward-looking statements contained in this press release should be evaluated together with the many uncertainties that affect the Company’s business, particularly those identified or referenced in the risk factors section of the Company’s most recent Annual Report on Form 20-F and any subsequent reports on Form 6-K. These documents are available from the Securities and Exchange Commission, the Company website or from Company Investor Relations.</w:t>
      </w:r>
    </w:p>
    <w:p>
      <w:pPr>
        <w:pStyle w:val="TextBody"/>
        <w:bidi w:val="0"/>
        <w:spacing w:lineRule="auto" w:line="256"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information contained in this press release was current as of the date presented and should not be relied upon as representing our estimates as of any subsequent date. While we may elect to update forward-looking statements at some point in the future, we specifically disclaim any obligation to do so, even if our estimates change, whether as a result of new information, future events, or otherwise. Consequently, the Company will not update the information contained in this press release, and investors should not rely upon the information as current or accurate after the presentation date.</w:t>
      </w:r>
    </w:p>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120" w:after="120"/>
        <w:jc w:val="center"/>
        <w:rPr>
          <w:caps w:val="false"/>
          <w:smallCaps w:val="false"/>
        </w:rPr>
      </w:pPr>
      <w:r>
        <w:rPr>
          <w:caps w:val="false"/>
          <w:smallCaps w:val="false"/>
        </w:rPr>
        <w:drawing>
          <wp:inline distT="0" distB="0" distL="0" distR="0">
            <wp:extent cx="7143750" cy="1409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VERAXA Biotech AG – Corporate</w:t>
      </w:r>
      <w:r>
        <w:rPr>
          <w:rFonts w:ascii="Times New Roman;Times;Serif" w:hAnsi="Times New Roman;Times;Serif"/>
          <w:b w:val="false"/>
          <w:i w:val="false"/>
          <w:caps w:val="false"/>
          <w:smallCaps w:val="false"/>
          <w:sz w:val="20"/>
        </w:rPr>
        <w:br/>
      </w:r>
      <w:r>
        <w:rPr>
          <w:rFonts w:ascii="Times New Roman;Times;Serif" w:hAnsi="Times New Roman;Times;Serif"/>
          <w:b w:val="false"/>
          <w:i w:val="false"/>
          <w:caps w:val="false"/>
          <w:smallCaps w:val="false"/>
          <w:color w:val="131313"/>
          <w:sz w:val="20"/>
        </w:rPr>
        <w:t>Christoph Antz, Ph.D.</w:t>
      </w:r>
      <w:r>
        <w:rPr>
          <w:rFonts w:ascii="Times New Roman;Times;Serif" w:hAnsi="Times New Roman;Times;Serif"/>
          <w:b w:val="false"/>
          <w:i w:val="false"/>
          <w:caps w:val="false"/>
          <w:smallCaps w:val="false"/>
          <w:sz w:val="20"/>
        </w:rPr>
        <w:br/>
      </w:r>
      <w:r>
        <w:rPr>
          <w:rFonts w:ascii="Times New Roman;Times;Serif" w:hAnsi="Times New Roman;Times;Serif"/>
          <w:b w:val="false"/>
          <w:i w:val="false"/>
          <w:caps w:val="false"/>
          <w:smallCaps w:val="false"/>
          <w:color w:val="131313"/>
          <w:sz w:val="20"/>
        </w:rPr>
        <w:t>Chief Executive Officer, Co-Founder</w:t>
      </w:r>
      <w:r>
        <w:rPr>
          <w:rFonts w:ascii="Times New Roman;Times;Serif" w:hAnsi="Times New Roman;Times;Serif"/>
          <w:b w:val="false"/>
          <w:i w:val="false"/>
          <w:caps w:val="false"/>
          <w:smallCaps w:val="false"/>
          <w:sz w:val="20"/>
        </w:rPr>
        <w:br/>
        <w:t>investors@veraxa.com</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56"/>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Media and Investors – U.S.</w:t>
      </w:r>
      <w:r>
        <w:rPr>
          <w:rFonts w:ascii="Times New Roman;Times;Serif" w:hAnsi="Times New Roman;Times;Serif"/>
          <w:b w:val="false"/>
          <w:i w:val="false"/>
          <w:caps w:val="false"/>
          <w:smallCaps w:val="false"/>
          <w:sz w:val="20"/>
        </w:rPr>
        <w:br/>
        <w:t>Brandon Weiner</w:t>
        <w:br/>
        <w:t>ICR Healthcare</w:t>
        <w:br/>
        <w:t>VERAXA@icrhealthcare.com</w:t>
      </w:r>
    </w:p>
    <w:p>
      <w:pPr>
        <w:pStyle w:val="TextBody"/>
        <w:bidi w:val="0"/>
        <w:spacing w:lineRule="auto" w:line="256" w:before="0" w:after="0"/>
        <w:ind w:left="0" w:right="0" w:hanging="0"/>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Media and Investors – EU</w:t>
      </w:r>
      <w:r>
        <w:rPr>
          <w:rFonts w:ascii="Times New Roman;Times;Serif" w:hAnsi="Times New Roman;Times;Serif"/>
          <w:b w:val="false"/>
          <w:i w:val="false"/>
          <w:caps w:val="false"/>
          <w:smallCaps w:val="false"/>
          <w:sz w:val="20"/>
        </w:rPr>
        <w:br/>
      </w:r>
      <w:r>
        <w:rPr>
          <w:rFonts w:ascii="Times New Roman;Times;Serif" w:hAnsi="Times New Roman;Times;Serif"/>
          <w:b w:val="false"/>
          <w:i w:val="false"/>
          <w:caps w:val="false"/>
          <w:smallCaps w:val="false"/>
          <w:color w:val="131313"/>
          <w:sz w:val="20"/>
        </w:rPr>
        <w:t>Mario Brkulj</w:t>
      </w:r>
      <w:r>
        <w:rPr>
          <w:rFonts w:ascii="Times New Roman;Times;Serif" w:hAnsi="Times New Roman;Times;Serif"/>
          <w:b w:val="false"/>
          <w:i w:val="false"/>
          <w:caps w:val="false"/>
          <w:smallCaps w:val="false"/>
          <w:sz w:val="20"/>
        </w:rPr>
        <w:br/>
        <w:t>investors@veraxa.com</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2416</Words>
  <Characters>13729</Characters>
  <CharactersWithSpaces>16176</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